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sidR="00A3365C">
                  <w:rPr>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sidR="00A3365C">
                  <w:rPr>
                    <w:rtl/>
                  </w:rPr>
                  <w:t>רונית גורביץ</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Pr>
            </w:pPr>
          </w:p>
          <w:sdt>
            <w:sdtPr>
              <w:rPr>
                <w:rFonts w:hint="cs"/>
                <w:rtl/>
              </w:rPr>
              <w:alias w:val="1180"/>
              <w:tag w:val="1180"/>
              <w:id w:val="-803768281"/>
              <w:text w:multiLine="1"/>
            </w:sdtPr>
            <w:sdtEndPr/>
            <w:sdtContent>
              <w:p w:rsidR="00513A06" w:rsidRDefault="00A3365C">
                <w:pPr>
                  <w:rPr>
                    <w:rFonts w:ascii="Arial (W1)" w:hAnsi="Arial (W1)"/>
                    <w:b/>
                    <w:bCs/>
                    <w:noProof w:val="0"/>
                    <w:sz w:val="28"/>
                    <w:szCs w:val="28"/>
                  </w:rPr>
                </w:pPr>
                <w:r>
                  <w:rPr>
                    <w:rFonts w:hint="cs"/>
                    <w:rtl/>
                  </w:rPr>
                  <w:t>תובעת:</w:t>
                </w:r>
              </w:p>
            </w:sdtContent>
          </w:sdt>
        </w:tc>
        <w:tc>
          <w:tcPr>
            <w:tcW w:w="5571" w:type="dxa"/>
          </w:tcPr>
          <w:p w:rsidR="006816EC" w:rsidRDefault="006816EC">
            <w:pPr>
              <w:rPr>
                <w:rFonts w:ascii="Arial (W1)" w:hAnsi="Arial (W1)"/>
                <w:b/>
                <w:bCs/>
                <w:noProof w:val="0"/>
                <w:sz w:val="28"/>
                <w:szCs w:val="28"/>
                <w:rtl/>
              </w:rPr>
            </w:pPr>
          </w:p>
          <w:p w:rsidR="00D6374C" w:rsidRDefault="004B5CDB" w:rsidP="00D864B8">
            <w:pPr>
              <w:rPr>
                <w:rFonts w:ascii="Arial" w:hAnsi="Arial"/>
                <w:b/>
                <w:bCs/>
                <w:noProof w:val="0"/>
                <w:sz w:val="26"/>
                <w:szCs w:val="26"/>
                <w:rtl/>
              </w:rPr>
            </w:pPr>
            <w:sdt>
              <w:sdtPr>
                <w:rPr>
                  <w:rFonts w:hint="cs"/>
                  <w:b/>
                  <w:bCs/>
                  <w:noProof w:val="0"/>
                  <w:sz w:val="28"/>
                  <w:rtl/>
                </w:rPr>
                <w:alias w:val="1478"/>
                <w:tag w:val="1478"/>
                <w:id w:val="160126198"/>
                <w:text w:multiLine="1"/>
              </w:sdtPr>
              <w:sdtEndPr/>
              <w:sdtContent>
                <w:r w:rsidR="00A3365C">
                  <w:rPr>
                    <w:rFonts w:hint="cs"/>
                    <w:b/>
                    <w:bCs/>
                    <w:noProof w:val="0"/>
                    <w:sz w:val="28"/>
                    <w:rtl/>
                  </w:rPr>
                  <w:t xml:space="preserve">עוה"ד </w:t>
                </w:r>
                <w:r w:rsidR="00A3365C">
                  <w:rPr>
                    <w:rFonts w:hint="cs"/>
                    <w:b/>
                    <w:bCs/>
                    <w:noProof w:val="0"/>
                    <w:sz w:val="28"/>
                  </w:rPr>
                  <w:t>XXX</w:t>
                </w:r>
              </w:sdtContent>
            </w:sdt>
            <w:r w:rsidR="009C358E" w:rsidRPr="009C358E">
              <w:rPr>
                <w:rFonts w:hint="cs"/>
                <w:b/>
                <w:bCs/>
                <w:noProof w:val="0"/>
                <w:sz w:val="28"/>
                <w:rtl/>
              </w:rPr>
              <w:t xml:space="preserve"> </w:t>
            </w:r>
            <w:sdt>
              <w:sdtPr>
                <w:rPr>
                  <w:rFonts w:hint="cs"/>
                  <w:b/>
                  <w:bCs/>
                  <w:noProof w:val="0"/>
                  <w:sz w:val="28"/>
                  <w:rtl/>
                </w:rPr>
                <w:alias w:val="2315"/>
                <w:tag w:val="2315"/>
                <w:id w:val="815377524"/>
                <w:placeholder>
                  <w:docPart w:val="D650C3ADC6E34C929EE3D2B6C6EAD8DA"/>
                </w:placeholder>
                <w:text w:multiLine="1"/>
              </w:sdtPr>
              <w:sdtEndPr/>
              <w:sdtContent>
                <w:r w:rsidR="00A3365C">
                  <w:rPr>
                    <w:rFonts w:hint="cs"/>
                    <w:b/>
                    <w:bCs/>
                    <w:noProof w:val="0"/>
                    <w:sz w:val="28"/>
                    <w:rtl/>
                  </w:rPr>
                  <w:t>ת"ז</w:t>
                </w:r>
              </w:sdtContent>
            </w:sdt>
            <w:r w:rsidR="009C358E" w:rsidRPr="009C358E">
              <w:rPr>
                <w:rFonts w:hint="cs"/>
                <w:b/>
                <w:bCs/>
                <w:noProof w:val="0"/>
                <w:sz w:val="28"/>
                <w:rtl/>
              </w:rPr>
              <w:t xml:space="preserve"> </w:t>
            </w:r>
            <w:r w:rsidR="00D864B8">
              <w:rPr>
                <w:rFonts w:hint="cs"/>
                <w:b/>
                <w:bCs/>
                <w:noProof w:val="0"/>
                <w:sz w:val="28"/>
              </w:rPr>
              <w:t>XXX</w:t>
            </w:r>
            <w:r w:rsidR="00E44DDF">
              <w:rPr>
                <w:rFonts w:hint="cs"/>
                <w:b/>
                <w:bCs/>
                <w:noProof w:val="0"/>
                <w:sz w:val="28"/>
                <w:rtl/>
              </w:rPr>
              <w:t xml:space="preserve"> </w:t>
            </w:r>
          </w:p>
          <w:p w:rsidR="006816EC" w:rsidRDefault="00D6374C" w:rsidP="00D6374C">
            <w:pPr>
              <w:rPr>
                <w:rFonts w:ascii="Arial (W1)" w:hAnsi="Arial (W1)"/>
                <w:b/>
                <w:bCs/>
                <w:noProof w:val="0"/>
                <w:sz w:val="28"/>
                <w:szCs w:val="28"/>
              </w:rPr>
            </w:pPr>
            <w:r>
              <w:rPr>
                <w:rFonts w:ascii="Arial" w:hAnsi="Arial" w:hint="cs"/>
                <w:b/>
                <w:bCs/>
                <w:noProof w:val="0"/>
                <w:sz w:val="26"/>
                <w:szCs w:val="26"/>
                <w:rtl/>
              </w:rPr>
              <w:t>בתפקידה ככונסת נכסים</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4B5CDB">
            <w:pPr>
              <w:rPr>
                <w:rFonts w:ascii="Arial (W1)" w:hAnsi="Arial (W1)"/>
                <w:b/>
                <w:bCs/>
                <w:noProof w:val="0"/>
                <w:sz w:val="28"/>
                <w:szCs w:val="28"/>
              </w:rPr>
            </w:pPr>
            <w:sdt>
              <w:sdtPr>
                <w:rPr>
                  <w:rFonts w:hint="cs"/>
                  <w:rtl/>
                </w:rPr>
                <w:alias w:val="1184"/>
                <w:tag w:val="1184"/>
                <w:id w:val="-910234160"/>
                <w:text w:multiLine="1"/>
              </w:sdtPr>
              <w:sdtEndPr/>
              <w:sdtContent>
                <w:r w:rsidR="00A3365C">
                  <w:rPr>
                    <w:rFonts w:hint="cs"/>
                    <w:rtl/>
                  </w:rPr>
                  <w:t>נתבעים:</w:t>
                </w:r>
              </w:sdtContent>
            </w:sdt>
          </w:p>
        </w:tc>
        <w:tc>
          <w:tcPr>
            <w:tcW w:w="5571" w:type="dxa"/>
          </w:tcPr>
          <w:p w:rsidR="006816EC" w:rsidRDefault="006816EC">
            <w:pPr>
              <w:rPr>
                <w:rFonts w:ascii="Arial (W1)" w:hAnsi="Arial (W1)"/>
                <w:b/>
                <w:bCs/>
                <w:noProof w:val="0"/>
                <w:sz w:val="28"/>
                <w:szCs w:val="28"/>
                <w:rtl/>
              </w:rPr>
            </w:pPr>
          </w:p>
          <w:p w:rsidR="006816EC" w:rsidRDefault="004B5CDB" w:rsidP="00D864B8">
            <w:pPr>
              <w:rPr>
                <w:rFonts w:ascii="Arial (W1)" w:hAnsi="Arial (W1)"/>
                <w:b/>
                <w:bCs/>
                <w:noProof w:val="0"/>
                <w:sz w:val="28"/>
                <w:szCs w:val="28"/>
              </w:rPr>
            </w:pPr>
            <w:sdt>
              <w:sdtPr>
                <w:rPr>
                  <w:rFonts w:hint="cs"/>
                  <w:rtl/>
                </w:rPr>
                <w:alias w:val="1571"/>
                <w:tag w:val="1571"/>
                <w:id w:val="-1361515445"/>
                <w:text w:multiLine="1"/>
              </w:sdtPr>
              <w:sdtEndPr/>
              <w:sdtContent>
                <w:r w:rsidR="00A3365C">
                  <w:rPr>
                    <w:rFonts w:hint="cs"/>
                    <w:rtl/>
                  </w:rPr>
                  <w:t>1</w:t>
                </w:r>
              </w:sdtContent>
            </w:sdt>
            <w:r w:rsidR="006816EC">
              <w:rPr>
                <w:rFonts w:hint="cs"/>
                <w:b/>
                <w:bCs/>
                <w:noProof w:val="0"/>
                <w:sz w:val="28"/>
                <w:rtl/>
              </w:rPr>
              <w:t>.</w:t>
            </w:r>
            <w:sdt>
              <w:sdtPr>
                <w:rPr>
                  <w:rFonts w:hint="cs"/>
                  <w:b/>
                  <w:bCs/>
                  <w:noProof w:val="0"/>
                  <w:sz w:val="28"/>
                  <w:rtl/>
                </w:rPr>
                <w:alias w:val="1486"/>
                <w:tag w:val="1486"/>
                <w:id w:val="1487590763"/>
                <w:text w:multiLine="1"/>
              </w:sdtPr>
              <w:sdtEndPr/>
              <w:sdtContent>
                <w:r w:rsidR="00A3365C">
                  <w:rPr>
                    <w:rFonts w:hint="cs"/>
                    <w:b/>
                    <w:bCs/>
                    <w:noProof w:val="0"/>
                    <w:sz w:val="28"/>
                  </w:rPr>
                  <w:t>XXX</w:t>
                </w:r>
              </w:sdtContent>
            </w:sdt>
            <w:r w:rsidR="009C358E" w:rsidRPr="009C358E">
              <w:rPr>
                <w:rFonts w:hint="cs"/>
                <w:b/>
                <w:bCs/>
                <w:noProof w:val="0"/>
                <w:sz w:val="28"/>
                <w:rtl/>
              </w:rPr>
              <w:t xml:space="preserve"> </w:t>
            </w:r>
            <w:sdt>
              <w:sdtPr>
                <w:rPr>
                  <w:rFonts w:hint="cs"/>
                  <w:b/>
                  <w:bCs/>
                  <w:noProof w:val="0"/>
                  <w:sz w:val="28"/>
                  <w:rtl/>
                </w:rPr>
                <w:alias w:val="2317"/>
                <w:tag w:val="2317"/>
                <w:id w:val="1321767079"/>
                <w:placeholder>
                  <w:docPart w:val="188595C706B84060A65FC27D8AEC282C"/>
                </w:placeholder>
                <w:text w:multiLine="1"/>
              </w:sdtPr>
              <w:sdtEndPr/>
              <w:sdtContent>
                <w:r w:rsidR="00A3365C">
                  <w:rPr>
                    <w:rFonts w:hint="cs"/>
                    <w:b/>
                    <w:bCs/>
                    <w:noProof w:val="0"/>
                    <w:sz w:val="28"/>
                    <w:rtl/>
                  </w:rPr>
                  <w:t>ת"ז</w:t>
                </w:r>
              </w:sdtContent>
            </w:sdt>
            <w:r w:rsidR="009C358E" w:rsidRPr="009C358E">
              <w:rPr>
                <w:rFonts w:hint="cs"/>
                <w:b/>
                <w:bCs/>
                <w:noProof w:val="0"/>
                <w:sz w:val="28"/>
                <w:rtl/>
              </w:rPr>
              <w:t xml:space="preserve"> </w:t>
            </w:r>
            <w:r w:rsidR="00D864B8">
              <w:rPr>
                <w:rFonts w:hint="cs"/>
                <w:b/>
                <w:bCs/>
                <w:noProof w:val="0"/>
                <w:sz w:val="28"/>
              </w:rPr>
              <w:t>XXX</w:t>
            </w:r>
            <w:r w:rsidR="00E44DDF">
              <w:rPr>
                <w:rFonts w:hint="cs"/>
                <w:rtl/>
              </w:rPr>
              <w:t xml:space="preserve"> </w:t>
            </w:r>
          </w:p>
          <w:p w:rsidR="006816EC" w:rsidRDefault="004B5CDB" w:rsidP="00D864B8">
            <w:pPr>
              <w:rPr>
                <w:rFonts w:ascii="Arial (W1)" w:hAnsi="Arial (W1)"/>
                <w:b/>
                <w:bCs/>
                <w:noProof w:val="0"/>
                <w:sz w:val="28"/>
                <w:szCs w:val="28"/>
                <w:rtl/>
              </w:rPr>
            </w:pPr>
            <w:sdt>
              <w:sdtPr>
                <w:rPr>
                  <w:rFonts w:hint="cs"/>
                  <w:rtl/>
                </w:rPr>
                <w:alias w:val="1571"/>
                <w:tag w:val="1571"/>
                <w:id w:val="41102458"/>
                <w:text w:multiLine="1"/>
              </w:sdtPr>
              <w:sdtEndPr/>
              <w:sdtContent>
                <w:r w:rsidR="00A3365C">
                  <w:rPr>
                    <w:rFonts w:hint="cs"/>
                    <w:rtl/>
                  </w:rPr>
                  <w:t>2</w:t>
                </w:r>
              </w:sdtContent>
            </w:sdt>
            <w:r w:rsidR="006816EC">
              <w:rPr>
                <w:rFonts w:hint="cs"/>
                <w:b/>
                <w:bCs/>
                <w:noProof w:val="0"/>
                <w:sz w:val="28"/>
                <w:rtl/>
              </w:rPr>
              <w:t>.</w:t>
            </w:r>
            <w:sdt>
              <w:sdtPr>
                <w:rPr>
                  <w:rFonts w:hint="cs"/>
                  <w:b/>
                  <w:bCs/>
                  <w:noProof w:val="0"/>
                  <w:sz w:val="28"/>
                  <w:rtl/>
                </w:rPr>
                <w:alias w:val="1486"/>
                <w:tag w:val="1486"/>
                <w:id w:val="1447044340"/>
                <w:text w:multiLine="1"/>
              </w:sdtPr>
              <w:sdtEndPr/>
              <w:sdtContent>
                <w:r w:rsidR="00A3365C">
                  <w:rPr>
                    <w:rFonts w:hint="cs"/>
                    <w:b/>
                    <w:bCs/>
                    <w:noProof w:val="0"/>
                    <w:sz w:val="28"/>
                  </w:rPr>
                  <w:t>XXX</w:t>
                </w:r>
              </w:sdtContent>
            </w:sdt>
            <w:r w:rsidR="009C358E" w:rsidRPr="009C358E">
              <w:rPr>
                <w:rFonts w:hint="cs"/>
                <w:b/>
                <w:bCs/>
                <w:noProof w:val="0"/>
                <w:sz w:val="28"/>
                <w:rtl/>
              </w:rPr>
              <w:t xml:space="preserve"> </w:t>
            </w:r>
            <w:sdt>
              <w:sdtPr>
                <w:rPr>
                  <w:rFonts w:hint="cs"/>
                  <w:b/>
                  <w:bCs/>
                  <w:noProof w:val="0"/>
                  <w:sz w:val="28"/>
                  <w:rtl/>
                </w:rPr>
                <w:alias w:val="2317"/>
                <w:tag w:val="2317"/>
                <w:id w:val="-23396152"/>
                <w:placeholder>
                  <w:docPart w:val="188595C706B84060A65FC27D8AEC282C"/>
                </w:placeholder>
                <w:text w:multiLine="1"/>
              </w:sdtPr>
              <w:sdtEndPr/>
              <w:sdtContent>
                <w:r w:rsidR="00A3365C">
                  <w:rPr>
                    <w:rFonts w:hint="cs"/>
                    <w:b/>
                    <w:bCs/>
                    <w:noProof w:val="0"/>
                    <w:sz w:val="28"/>
                    <w:rtl/>
                  </w:rPr>
                  <w:t>ת"ז</w:t>
                </w:r>
              </w:sdtContent>
            </w:sdt>
            <w:r w:rsidR="009C358E" w:rsidRPr="009C358E">
              <w:rPr>
                <w:rFonts w:hint="cs"/>
                <w:b/>
                <w:bCs/>
                <w:noProof w:val="0"/>
                <w:sz w:val="28"/>
                <w:rtl/>
              </w:rPr>
              <w:t xml:space="preserve"> </w:t>
            </w:r>
            <w:r w:rsidR="00D864B8">
              <w:rPr>
                <w:rFonts w:hint="cs"/>
                <w:b/>
                <w:bCs/>
                <w:noProof w:val="0"/>
                <w:sz w:val="28"/>
              </w:rPr>
              <w:t>XXX</w:t>
            </w:r>
            <w:r w:rsidR="00E44DDF">
              <w:rPr>
                <w:rFonts w:hint="cs"/>
                <w:rtl/>
              </w:rPr>
              <w:t xml:space="preserve"> </w:t>
            </w:r>
          </w:p>
          <w:p w:rsidR="00D6374C" w:rsidRPr="00D6374C" w:rsidRDefault="00D6374C" w:rsidP="00D6374C">
            <w:pPr>
              <w:rPr>
                <w:rFonts w:ascii="Arial (W1)" w:hAnsi="Arial (W1)"/>
                <w:b/>
                <w:bCs/>
                <w:noProof w:val="0"/>
              </w:rPr>
            </w:pPr>
            <w:r w:rsidRPr="00D6374C">
              <w:rPr>
                <w:rFonts w:ascii="Arial (W1)" w:hAnsi="Arial (W1)" w:hint="cs"/>
                <w:b/>
                <w:bCs/>
                <w:noProof w:val="0"/>
                <w:rtl/>
              </w:rPr>
              <w:t>שניהם באמצעות עוה"ד י. מירון</w:t>
            </w:r>
          </w:p>
        </w:tc>
      </w:tr>
    </w:tbl>
    <w:p w:rsidR="006816EC" w:rsidRDefault="006816EC" w:rsidP="003823DA">
      <w:pPr>
        <w:suppressLineNumbers/>
        <w:rPr>
          <w:rtl/>
        </w:rPr>
      </w:pPr>
    </w:p>
    <w:p w:rsidR="00D6374C" w:rsidRDefault="00D6374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tbl>
      <w:tblPr>
        <w:tblStyle w:val="10"/>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D6374C" w:rsidRPr="00D6374C" w:rsidTr="00D6374C">
        <w:trPr>
          <w:jc w:val="center"/>
        </w:trPr>
        <w:tc>
          <w:tcPr>
            <w:tcW w:w="8820" w:type="dxa"/>
          </w:tcPr>
          <w:p w:rsidR="00D6374C" w:rsidRPr="00D6374C" w:rsidRDefault="00D6374C" w:rsidP="00D6374C">
            <w:pPr>
              <w:bidi w:val="0"/>
              <w:jc w:val="both"/>
              <w:rPr>
                <w:rFonts w:ascii="David" w:eastAsia="Calibri" w:hAnsi="David"/>
                <w:b/>
                <w:bCs/>
                <w:noProof w:val="0"/>
                <w:u w:val="single"/>
              </w:rPr>
            </w:pPr>
          </w:p>
        </w:tc>
      </w:tr>
    </w:tbl>
    <w:p w:rsidR="00D6374C" w:rsidRPr="00D6374C" w:rsidRDefault="00D6374C" w:rsidP="00D6374C">
      <w:pPr>
        <w:numPr>
          <w:ilvl w:val="0"/>
          <w:numId w:val="1"/>
        </w:numPr>
        <w:spacing w:after="160" w:line="360" w:lineRule="auto"/>
        <w:contextualSpacing/>
        <w:jc w:val="both"/>
        <w:rPr>
          <w:rFonts w:ascii="David" w:eastAsia="Calibri" w:hAnsi="David"/>
          <w:noProof w:val="0"/>
        </w:rPr>
      </w:pPr>
      <w:bookmarkStart w:id="0" w:name="NGCSBookmark"/>
      <w:bookmarkEnd w:id="0"/>
      <w:r w:rsidRPr="00D6374C">
        <w:rPr>
          <w:rFonts w:ascii="David" w:eastAsia="Calibri" w:hAnsi="David"/>
          <w:noProof w:val="0"/>
          <w:rtl/>
        </w:rPr>
        <w:t xml:space="preserve">השאלה שמונחת לפתחי הינה - האם בנסיבות החריגות של חיובים שנוצרו לבן הזוג מכוח הסכם פשרה, שניתן בתביעות נזיקיות בגין עבירות מין פליליות שביצע בשני נפגעים בהיותם קטינים, מצדיקות שלילת זכות לדיירות מוגנת העומדת לבת הזוג, מכוח סעיף </w:t>
      </w:r>
      <w:r w:rsidRPr="00D6374C">
        <w:rPr>
          <w:rFonts w:ascii="David" w:eastAsia="Calibri" w:hAnsi="David"/>
          <w:noProof w:val="0"/>
        </w:rPr>
        <w:t>33</w:t>
      </w:r>
      <w:r w:rsidRPr="00D6374C">
        <w:rPr>
          <w:rFonts w:ascii="David" w:eastAsia="Calibri" w:hAnsi="David"/>
          <w:noProof w:val="0"/>
          <w:rtl/>
        </w:rPr>
        <w:t xml:space="preserve"> לחוק הגנת הדייר [נוסח משולב], התשל"ב-1972 (להלן: "</w:t>
      </w:r>
      <w:r w:rsidRPr="00D6374C">
        <w:rPr>
          <w:rFonts w:ascii="David" w:eastAsia="Calibri" w:hAnsi="David"/>
          <w:b/>
          <w:bCs/>
          <w:noProof w:val="0"/>
          <w:rtl/>
        </w:rPr>
        <w:t>חוק הגנת הדייר</w:t>
      </w:r>
      <w:r w:rsidRPr="00D6374C">
        <w:rPr>
          <w:rFonts w:ascii="David" w:eastAsia="Calibri" w:hAnsi="David"/>
          <w:noProof w:val="0"/>
          <w:rtl/>
        </w:rPr>
        <w:t>") במסגרת הליך פירוק שיתוף בדירת מגוריהם בו נקטה כונסת הנכסים כדי להיפרע ממחצית זכויות בן הזוג בה. ובלשון אחר, האם חל החריג להלכת "כובשי", ובאיזון בין התכלית הסוציאלית להגן על הדיירים לבין זכות הקניין של הנושים, נכון יהיה לייחס לבת הזוג אחריות משותפת לחוב, כדי לממש את חובו של הנתבע מכל הדירה, ולשלול ממנה הגנה מפני פינוי.</w:t>
      </w:r>
    </w:p>
    <w:p w:rsidR="00D6374C" w:rsidRPr="00D6374C" w:rsidRDefault="00D6374C" w:rsidP="00D6374C">
      <w:pPr>
        <w:spacing w:line="360" w:lineRule="auto"/>
        <w:ind w:left="1440"/>
        <w:contextualSpacing/>
        <w:jc w:val="both"/>
        <w:rPr>
          <w:rFonts w:ascii="David" w:eastAsia="Calibri" w:hAnsi="David"/>
          <w:noProof w:val="0"/>
        </w:rPr>
      </w:pPr>
    </w:p>
    <w:p w:rsidR="00D6374C" w:rsidRPr="00D6374C" w:rsidRDefault="00D6374C" w:rsidP="00D6374C">
      <w:pPr>
        <w:spacing w:line="360" w:lineRule="auto"/>
        <w:ind w:left="1440"/>
        <w:contextualSpacing/>
        <w:jc w:val="both"/>
        <w:rPr>
          <w:rFonts w:ascii="David" w:eastAsia="Calibri" w:hAnsi="David"/>
          <w:b/>
          <w:bCs/>
          <w:noProof w:val="0"/>
          <w:u w:val="single"/>
        </w:rPr>
      </w:pPr>
      <w:r w:rsidRPr="00D6374C">
        <w:rPr>
          <w:rFonts w:ascii="David" w:eastAsia="Calibri" w:hAnsi="David"/>
          <w:b/>
          <w:bCs/>
          <w:noProof w:val="0"/>
          <w:u w:val="single"/>
          <w:rtl/>
        </w:rPr>
        <w:t>רקע</w:t>
      </w:r>
    </w:p>
    <w:p w:rsidR="00D6374C" w:rsidRPr="00D6374C" w:rsidRDefault="00D6374C" w:rsidP="00D6374C">
      <w:pPr>
        <w:numPr>
          <w:ilvl w:val="0"/>
          <w:numId w:val="1"/>
        </w:numPr>
        <w:spacing w:after="160" w:line="360" w:lineRule="auto"/>
        <w:contextualSpacing/>
        <w:jc w:val="both"/>
        <w:rPr>
          <w:rFonts w:ascii="David" w:eastAsia="Calibri" w:hAnsi="David"/>
          <w:noProof w:val="0"/>
        </w:rPr>
      </w:pPr>
      <w:r w:rsidRPr="00D6374C">
        <w:rPr>
          <w:rFonts w:ascii="David" w:eastAsia="Calibri" w:hAnsi="David"/>
          <w:noProof w:val="0"/>
          <w:rtl/>
        </w:rPr>
        <w:t>התובעת הינה כונסת הנכסים, שמונתה על פי החלטת ראש ההוצל"פ, והיא  עותרת לפירוק שיתוף בדירת מגוריי הנתבעים (להלן: "</w:t>
      </w:r>
      <w:r w:rsidRPr="00D6374C">
        <w:rPr>
          <w:rFonts w:ascii="David" w:eastAsia="Calibri" w:hAnsi="David"/>
          <w:b/>
          <w:bCs/>
          <w:noProof w:val="0"/>
          <w:rtl/>
        </w:rPr>
        <w:t>הדירה</w:t>
      </w:r>
      <w:r w:rsidRPr="00D6374C">
        <w:rPr>
          <w:rFonts w:ascii="David" w:eastAsia="Calibri" w:hAnsi="David"/>
          <w:noProof w:val="0"/>
          <w:rtl/>
        </w:rPr>
        <w:t>"), בדרך של מכירתה בשוק החופשי לכל המרבה במחיר כשהיא פנויה מכל אדם וחפץ, ורק לחילופין כשהיא תפוסה על ידי הנתבעת.</w:t>
      </w:r>
    </w:p>
    <w:p w:rsidR="00D6374C" w:rsidRPr="00D6374C" w:rsidRDefault="00D6374C" w:rsidP="00D6374C">
      <w:pPr>
        <w:numPr>
          <w:ilvl w:val="0"/>
          <w:numId w:val="1"/>
        </w:numPr>
        <w:spacing w:after="160" w:line="360" w:lineRule="auto"/>
        <w:contextualSpacing/>
        <w:jc w:val="both"/>
        <w:rPr>
          <w:rFonts w:ascii="David" w:eastAsia="Calibri" w:hAnsi="David"/>
          <w:noProof w:val="0"/>
        </w:rPr>
      </w:pPr>
      <w:r w:rsidRPr="00D6374C">
        <w:rPr>
          <w:rFonts w:ascii="David" w:eastAsia="Calibri" w:hAnsi="David"/>
          <w:noProof w:val="0"/>
          <w:rtl/>
        </w:rPr>
        <w:t xml:space="preserve">הנתבעים, הינם זוג נשוי, המתגוררים בדירה ביחד עם בנם הבגיר שנטען שהינו בעל צרכים מיוחדים והסובל מנכות המוכרת ע"י </w:t>
      </w:r>
      <w:proofErr w:type="spellStart"/>
      <w:r w:rsidRPr="00D6374C">
        <w:rPr>
          <w:rFonts w:ascii="David" w:eastAsia="Calibri" w:hAnsi="David"/>
          <w:noProof w:val="0"/>
          <w:rtl/>
        </w:rPr>
        <w:t>המל"ל</w:t>
      </w:r>
      <w:proofErr w:type="spellEnd"/>
      <w:r w:rsidRPr="00D6374C">
        <w:rPr>
          <w:rFonts w:ascii="David" w:eastAsia="Calibri" w:hAnsi="David"/>
          <w:noProof w:val="0"/>
          <w:rtl/>
        </w:rPr>
        <w:t>.</w:t>
      </w:r>
    </w:p>
    <w:p w:rsidR="00D6374C" w:rsidRPr="00D6374C" w:rsidRDefault="00D6374C" w:rsidP="00D6374C">
      <w:pPr>
        <w:numPr>
          <w:ilvl w:val="0"/>
          <w:numId w:val="1"/>
        </w:numPr>
        <w:spacing w:after="160" w:line="360" w:lineRule="auto"/>
        <w:contextualSpacing/>
        <w:jc w:val="both"/>
        <w:rPr>
          <w:rFonts w:ascii="David" w:eastAsia="Calibri" w:hAnsi="David"/>
          <w:noProof w:val="0"/>
        </w:rPr>
      </w:pPr>
      <w:r w:rsidRPr="00D6374C">
        <w:rPr>
          <w:rFonts w:ascii="David" w:eastAsia="Calibri" w:hAnsi="David"/>
          <w:noProof w:val="0"/>
          <w:rtl/>
        </w:rPr>
        <w:t xml:space="preserve">לנתבעים זכויות בחלקים שווים בדירה. </w:t>
      </w:r>
    </w:p>
    <w:p w:rsidR="00D6374C" w:rsidRPr="00D6374C" w:rsidRDefault="00D6374C" w:rsidP="00D6374C">
      <w:pPr>
        <w:numPr>
          <w:ilvl w:val="0"/>
          <w:numId w:val="1"/>
        </w:numPr>
        <w:spacing w:after="160" w:line="360" w:lineRule="auto"/>
        <w:contextualSpacing/>
        <w:jc w:val="both"/>
        <w:rPr>
          <w:rFonts w:ascii="David" w:eastAsia="Calibri" w:hAnsi="David"/>
          <w:noProof w:val="0"/>
        </w:rPr>
      </w:pPr>
      <w:r w:rsidRPr="00D6374C">
        <w:rPr>
          <w:rFonts w:ascii="David" w:eastAsia="Calibri" w:hAnsi="David"/>
          <w:noProof w:val="0"/>
          <w:rtl/>
        </w:rPr>
        <w:t>התובעת מונתה לתפקידה על זכויות הנתבע בדירה במסגרת תיק הוצל"פ שנפתח כנגדו לביצוע חיוב כספי ונזיקי בסך של 390,000 ₪ בגין עוולות פליליות (עבירות מין) שבוצעו על ידו כנגד קטין ואשר בגינן הורשע וריצה עונש מאסר של 9 שנים.</w:t>
      </w:r>
    </w:p>
    <w:p w:rsidR="00D6374C" w:rsidRPr="00D6374C" w:rsidRDefault="00D6374C" w:rsidP="00D6374C">
      <w:pPr>
        <w:numPr>
          <w:ilvl w:val="0"/>
          <w:numId w:val="1"/>
        </w:numPr>
        <w:spacing w:after="160" w:line="360" w:lineRule="auto"/>
        <w:contextualSpacing/>
        <w:jc w:val="both"/>
        <w:rPr>
          <w:rFonts w:ascii="David" w:eastAsia="Calibri" w:hAnsi="David"/>
          <w:noProof w:val="0"/>
        </w:rPr>
      </w:pPr>
      <w:r w:rsidRPr="00D6374C">
        <w:rPr>
          <w:rFonts w:ascii="David" w:eastAsia="Calibri" w:hAnsi="David"/>
          <w:noProof w:val="0"/>
          <w:rtl/>
        </w:rPr>
        <w:t>תיק ההוצל"פ שבמסגרתו מונתה התובעת ככונסת נכסים עומד כיום ע"ס של 830,000 ₪.</w:t>
      </w:r>
    </w:p>
    <w:p w:rsidR="00D6374C" w:rsidRPr="00D6374C" w:rsidRDefault="00D6374C" w:rsidP="00D6374C">
      <w:pPr>
        <w:numPr>
          <w:ilvl w:val="0"/>
          <w:numId w:val="1"/>
        </w:numPr>
        <w:spacing w:after="160" w:line="360" w:lineRule="auto"/>
        <w:contextualSpacing/>
        <w:jc w:val="both"/>
        <w:rPr>
          <w:rFonts w:ascii="David" w:eastAsia="Calibri" w:hAnsi="David"/>
          <w:noProof w:val="0"/>
        </w:rPr>
      </w:pPr>
      <w:r w:rsidRPr="00D6374C">
        <w:rPr>
          <w:rFonts w:ascii="David" w:eastAsia="Calibri" w:hAnsi="David"/>
          <w:noProof w:val="0"/>
          <w:rtl/>
        </w:rPr>
        <w:t xml:space="preserve">תיק נוסף נפתח כנגד הנתבע בהוצל"פ, גם הוא לביצוע חיוב כספי ונזיקי בגין עבירות מין כנגד קטינה, ואשר החיוב בגינו עומד כיום ע"ס של 1,300,000 ₪ ובמסגרתו הוטל עיקול על זכויותיו בדירה. </w:t>
      </w:r>
    </w:p>
    <w:p w:rsidR="00D6374C" w:rsidRPr="00D6374C" w:rsidRDefault="00D6374C" w:rsidP="00D6374C">
      <w:pPr>
        <w:numPr>
          <w:ilvl w:val="0"/>
          <w:numId w:val="1"/>
        </w:numPr>
        <w:spacing w:after="160" w:line="360" w:lineRule="auto"/>
        <w:contextualSpacing/>
        <w:jc w:val="both"/>
        <w:rPr>
          <w:rFonts w:ascii="David" w:eastAsia="Calibri" w:hAnsi="David"/>
          <w:noProof w:val="0"/>
        </w:rPr>
      </w:pPr>
      <w:r w:rsidRPr="00D6374C">
        <w:rPr>
          <w:rFonts w:ascii="David" w:eastAsia="Calibri" w:hAnsi="David"/>
          <w:noProof w:val="0"/>
          <w:rtl/>
        </w:rPr>
        <w:t>התובעת טענה כי סך כל חובות הנתבע בהוצל"פ בגין מעשיו הפליליים לשני הנפגעים נאמד בכ-2,130,000 ₪.</w:t>
      </w:r>
    </w:p>
    <w:p w:rsidR="00D6374C" w:rsidRPr="00D6374C" w:rsidRDefault="00D6374C" w:rsidP="00D6374C">
      <w:pPr>
        <w:numPr>
          <w:ilvl w:val="0"/>
          <w:numId w:val="1"/>
        </w:numPr>
        <w:spacing w:after="160" w:line="360" w:lineRule="auto"/>
        <w:contextualSpacing/>
        <w:jc w:val="both"/>
        <w:rPr>
          <w:rFonts w:ascii="David" w:eastAsia="Calibri" w:hAnsi="David"/>
          <w:noProof w:val="0"/>
          <w:rtl/>
        </w:rPr>
      </w:pPr>
      <w:r w:rsidRPr="00D6374C">
        <w:rPr>
          <w:rFonts w:ascii="David" w:eastAsia="Calibri" w:hAnsi="David"/>
          <w:noProof w:val="0"/>
          <w:rtl/>
        </w:rPr>
        <w:t>הנתבע הגיש תביעה לחדלות פירעון ביום 20.7.20 בגין שני החובות לפיצוי נפגעי העבירות, שנדחתה, הואיל וחובותיו אינם בני הפטר.</w:t>
      </w:r>
    </w:p>
    <w:p w:rsidR="00D6374C" w:rsidRPr="00D6374C" w:rsidRDefault="00D6374C" w:rsidP="00D6374C">
      <w:pPr>
        <w:numPr>
          <w:ilvl w:val="0"/>
          <w:numId w:val="1"/>
        </w:numPr>
        <w:spacing w:after="160" w:line="360" w:lineRule="auto"/>
        <w:contextualSpacing/>
        <w:jc w:val="both"/>
        <w:rPr>
          <w:rFonts w:ascii="David" w:eastAsia="Calibri" w:hAnsi="David"/>
          <w:noProof w:val="0"/>
        </w:rPr>
      </w:pPr>
      <w:r w:rsidRPr="00D6374C">
        <w:rPr>
          <w:rFonts w:ascii="David" w:eastAsia="Calibri" w:hAnsi="David"/>
          <w:noProof w:val="0"/>
          <w:rtl/>
        </w:rPr>
        <w:t>ביום 6.12.23 התקיים דיון במעמד הצדדים ובאי כוחם.</w:t>
      </w:r>
    </w:p>
    <w:p w:rsidR="00D6374C" w:rsidRPr="00D6374C" w:rsidRDefault="00D6374C" w:rsidP="00D6374C">
      <w:pPr>
        <w:spacing w:line="360" w:lineRule="auto"/>
        <w:ind w:left="1440"/>
        <w:contextualSpacing/>
        <w:jc w:val="both"/>
        <w:rPr>
          <w:rFonts w:ascii="David" w:eastAsia="Calibri" w:hAnsi="David"/>
          <w:noProof w:val="0"/>
        </w:rPr>
      </w:pPr>
      <w:r w:rsidRPr="00D6374C">
        <w:rPr>
          <w:rFonts w:ascii="David" w:eastAsia="Calibri" w:hAnsi="David"/>
          <w:noProof w:val="0"/>
          <w:rtl/>
        </w:rPr>
        <w:t>במהלכו התברר כי הצדדים חלוקים באשר לאופן פירוק השיתוף בדירה.</w:t>
      </w:r>
    </w:p>
    <w:p w:rsidR="00D6374C" w:rsidRPr="00D6374C" w:rsidRDefault="00D6374C" w:rsidP="00D6374C">
      <w:pPr>
        <w:spacing w:line="360" w:lineRule="auto"/>
        <w:ind w:left="1440"/>
        <w:contextualSpacing/>
        <w:jc w:val="both"/>
        <w:rPr>
          <w:rFonts w:ascii="David" w:eastAsia="Calibri" w:hAnsi="David"/>
          <w:noProof w:val="0"/>
          <w:rtl/>
        </w:rPr>
      </w:pPr>
      <w:r w:rsidRPr="00D6374C">
        <w:rPr>
          <w:rFonts w:ascii="David" w:eastAsia="Calibri" w:hAnsi="David"/>
          <w:noProof w:val="0"/>
          <w:rtl/>
        </w:rPr>
        <w:t xml:space="preserve">התובעת טענה לפירוק שיתוף בדרך של מכירה בשוק החופשי, בעוד הנתבעים טענו להגנה מכוח סעיף 33 לחוק הגנת הדייר, מכוחו הינם דיירים מוגנים, ואם הדירה תימכר, הרי שיש לעשות זאת בדרך של מכירתה כ"תפוסה". </w:t>
      </w:r>
    </w:p>
    <w:p w:rsidR="00D6374C" w:rsidRPr="00D6374C" w:rsidRDefault="00D6374C" w:rsidP="00D6374C">
      <w:pPr>
        <w:numPr>
          <w:ilvl w:val="0"/>
          <w:numId w:val="1"/>
        </w:numPr>
        <w:spacing w:after="160" w:line="360" w:lineRule="auto"/>
        <w:contextualSpacing/>
        <w:jc w:val="both"/>
        <w:rPr>
          <w:rFonts w:ascii="David" w:eastAsia="Calibri" w:hAnsi="David"/>
          <w:noProof w:val="0"/>
          <w:rtl/>
        </w:rPr>
      </w:pPr>
      <w:r w:rsidRPr="00D6374C">
        <w:rPr>
          <w:rFonts w:ascii="David" w:eastAsia="Calibri" w:hAnsi="David"/>
          <w:noProof w:val="0"/>
          <w:rtl/>
        </w:rPr>
        <w:t>בהסכמת הצדדים נקבע מתווה של הכרעה לאחר הגשת סיכומים בכתב.</w:t>
      </w:r>
    </w:p>
    <w:p w:rsidR="00D6374C" w:rsidRPr="00D6374C" w:rsidRDefault="00D6374C" w:rsidP="00D6374C">
      <w:pPr>
        <w:spacing w:line="360" w:lineRule="auto"/>
        <w:contextualSpacing/>
        <w:jc w:val="both"/>
        <w:rPr>
          <w:rFonts w:ascii="David" w:eastAsia="Calibri" w:hAnsi="David"/>
          <w:noProof w:val="0"/>
          <w:rtl/>
        </w:rPr>
      </w:pPr>
    </w:p>
    <w:p w:rsidR="00D6374C" w:rsidRPr="00D6374C" w:rsidRDefault="00D6374C" w:rsidP="00D6374C">
      <w:pPr>
        <w:spacing w:line="360" w:lineRule="auto"/>
        <w:ind w:left="1440"/>
        <w:contextualSpacing/>
        <w:jc w:val="both"/>
        <w:rPr>
          <w:rFonts w:ascii="David" w:eastAsia="Calibri" w:hAnsi="David"/>
          <w:b/>
          <w:bCs/>
          <w:noProof w:val="0"/>
          <w:u w:val="single"/>
        </w:rPr>
      </w:pPr>
      <w:r w:rsidRPr="00D6374C">
        <w:rPr>
          <w:rFonts w:ascii="David" w:eastAsia="Calibri" w:hAnsi="David"/>
          <w:b/>
          <w:bCs/>
          <w:noProof w:val="0"/>
          <w:u w:val="single"/>
          <w:rtl/>
        </w:rPr>
        <w:t>טענות התובעת</w:t>
      </w:r>
    </w:p>
    <w:p w:rsidR="00D6374C" w:rsidRPr="00D6374C" w:rsidRDefault="00D6374C" w:rsidP="00D6374C">
      <w:pPr>
        <w:numPr>
          <w:ilvl w:val="0"/>
          <w:numId w:val="1"/>
        </w:numPr>
        <w:spacing w:after="160" w:line="360" w:lineRule="auto"/>
        <w:contextualSpacing/>
        <w:jc w:val="both"/>
        <w:rPr>
          <w:rFonts w:ascii="David" w:eastAsia="Calibri" w:hAnsi="David"/>
          <w:noProof w:val="0"/>
        </w:rPr>
      </w:pPr>
      <w:r w:rsidRPr="00D6374C">
        <w:rPr>
          <w:rFonts w:ascii="David" w:eastAsia="Calibri" w:hAnsi="David"/>
          <w:noProof w:val="0"/>
          <w:rtl/>
        </w:rPr>
        <w:t>לטענתה, החיובים הכספיים שנפסקו כנגד הנתבע נקבעו בהסכמה לפיצויי שני הנפגעים, ואולם על אף האמור, הנתבע ואשתו הנתבעת, שליוותה אותו בכל ההליכים ועדיין, לא באמת התכוונו לשלם את הפיצוי הכספי שלו הם הסכימו. והראייה שמאז מתן פסקי הדין, הנתבע לא שילם מאומה בגין החיובים הכספיים ואף לא ניסה לבוא בדברים על מנת לשלם את חיוביו.</w:t>
      </w:r>
    </w:p>
    <w:p w:rsidR="00D6374C" w:rsidRPr="00D6374C" w:rsidRDefault="00D6374C" w:rsidP="00D6374C">
      <w:pPr>
        <w:numPr>
          <w:ilvl w:val="0"/>
          <w:numId w:val="1"/>
        </w:numPr>
        <w:spacing w:after="160" w:line="360" w:lineRule="auto"/>
        <w:contextualSpacing/>
        <w:jc w:val="both"/>
        <w:rPr>
          <w:rFonts w:ascii="David" w:eastAsia="Calibri" w:hAnsi="David"/>
          <w:noProof w:val="0"/>
        </w:rPr>
      </w:pPr>
      <w:r w:rsidRPr="00D6374C">
        <w:rPr>
          <w:rFonts w:ascii="David" w:eastAsia="Calibri" w:hAnsi="David"/>
          <w:noProof w:val="0"/>
          <w:rtl/>
        </w:rPr>
        <w:t>לטענתה, מכירת הדירה כתפוסה, לא יהא בה כדי לסלק את מלוא חובות הנתבע כלפי שני הנפגעים. גם מכירת הדירה כפנויה לא יהיה בה כדי לפצות את הנפגעים כדי מלוא סכום הפיצוי שנפסק להם מתוך חלקו של הנתבע בדירה.</w:t>
      </w:r>
    </w:p>
    <w:p w:rsidR="00D6374C" w:rsidRPr="00D6374C" w:rsidRDefault="00D6374C" w:rsidP="00D6374C">
      <w:pPr>
        <w:numPr>
          <w:ilvl w:val="0"/>
          <w:numId w:val="1"/>
        </w:numPr>
        <w:spacing w:after="160" w:line="360" w:lineRule="auto"/>
        <w:contextualSpacing/>
        <w:jc w:val="both"/>
        <w:rPr>
          <w:rFonts w:ascii="David" w:eastAsia="Calibri" w:hAnsi="David"/>
          <w:noProof w:val="0"/>
        </w:rPr>
      </w:pPr>
      <w:r w:rsidRPr="00D6374C">
        <w:rPr>
          <w:rFonts w:ascii="David" w:eastAsia="Calibri" w:hAnsi="David"/>
          <w:noProof w:val="0"/>
          <w:rtl/>
        </w:rPr>
        <w:t>התובעת מציינת את הפגיעות, הצער והסבל הרב שנגרם לנפגעים הקטינים ע"י מעשיי הנתבע. ואם לא די בכך, כיום בחלוף זמן רב מאז אותן פגיעות, הנפגעים אינם יכולים למצות את זכויותיהם הכספיות שנפסקו להם בהסכם פשרה.</w:t>
      </w:r>
    </w:p>
    <w:p w:rsidR="00D6374C" w:rsidRPr="00D6374C" w:rsidRDefault="00D6374C" w:rsidP="00D6374C">
      <w:pPr>
        <w:numPr>
          <w:ilvl w:val="0"/>
          <w:numId w:val="1"/>
        </w:numPr>
        <w:spacing w:after="160" w:line="360" w:lineRule="auto"/>
        <w:contextualSpacing/>
        <w:jc w:val="both"/>
        <w:rPr>
          <w:rFonts w:ascii="David" w:eastAsia="Calibri" w:hAnsi="David"/>
          <w:noProof w:val="0"/>
        </w:rPr>
      </w:pPr>
      <w:r w:rsidRPr="00D6374C">
        <w:rPr>
          <w:rFonts w:ascii="David" w:eastAsia="Calibri" w:hAnsi="David"/>
          <w:noProof w:val="0"/>
          <w:rtl/>
        </w:rPr>
        <w:t xml:space="preserve">לטענת התובעת, על מנת לחמוק מתשלום החיובים הכספיים, רכש הנתבע נכס נוסף ע"ש בנו אשר לטענתו, הינו בעל צרכים מיוחדים וסמוך על שולחנו ואף פתח בהליך חדלות פירעון למחיקת חובותיו כלפי הנפגעים. התובעת ציינה כי בקשתו לחדלות פירעון נדחתה בהינתן כי החובות כלפי הנפגעים לא נוצרו בתום-לב.  </w:t>
      </w:r>
    </w:p>
    <w:p w:rsidR="00D6374C" w:rsidRPr="00D6374C" w:rsidRDefault="00D6374C" w:rsidP="00D6374C">
      <w:pPr>
        <w:numPr>
          <w:ilvl w:val="0"/>
          <w:numId w:val="1"/>
        </w:numPr>
        <w:spacing w:after="160" w:line="360" w:lineRule="auto"/>
        <w:contextualSpacing/>
        <w:jc w:val="both"/>
        <w:rPr>
          <w:rFonts w:ascii="David" w:eastAsia="Calibri" w:hAnsi="David"/>
          <w:noProof w:val="0"/>
        </w:rPr>
      </w:pPr>
      <w:r w:rsidRPr="00D6374C">
        <w:rPr>
          <w:rFonts w:ascii="David" w:eastAsia="Calibri" w:hAnsi="David"/>
          <w:noProof w:val="0"/>
          <w:rtl/>
        </w:rPr>
        <w:t xml:space="preserve">לגישתה, יהיה זה נכון </w:t>
      </w:r>
      <w:proofErr w:type="spellStart"/>
      <w:r w:rsidRPr="00D6374C">
        <w:rPr>
          <w:rFonts w:ascii="David" w:eastAsia="Calibri" w:hAnsi="David"/>
          <w:noProof w:val="0"/>
          <w:rtl/>
        </w:rPr>
        <w:t>להחריג</w:t>
      </w:r>
      <w:proofErr w:type="spellEnd"/>
      <w:r w:rsidRPr="00D6374C">
        <w:rPr>
          <w:rFonts w:ascii="David" w:eastAsia="Calibri" w:hAnsi="David"/>
          <w:noProof w:val="0"/>
          <w:rtl/>
        </w:rPr>
        <w:t xml:space="preserve"> גם את המקרה דנן מהלכת "כובשי", שצומצמה עם השנים לאור איזון אינטרסים ראוי בין הנושים לחייב, ולקבוע כי אין תחולה לחוק הגנת הדייר, בפרט שהנתבע הוא שפנה מיוזמתו להליך פשיטת רגל. </w:t>
      </w:r>
    </w:p>
    <w:p w:rsidR="00D6374C" w:rsidRPr="00D6374C" w:rsidRDefault="00D6374C" w:rsidP="00D6374C">
      <w:pPr>
        <w:numPr>
          <w:ilvl w:val="0"/>
          <w:numId w:val="1"/>
        </w:numPr>
        <w:spacing w:after="160" w:line="360" w:lineRule="auto"/>
        <w:contextualSpacing/>
        <w:jc w:val="both"/>
        <w:rPr>
          <w:rFonts w:ascii="David" w:eastAsia="Calibri" w:hAnsi="David"/>
          <w:noProof w:val="0"/>
        </w:rPr>
      </w:pPr>
      <w:r w:rsidRPr="00D6374C">
        <w:rPr>
          <w:rFonts w:ascii="David" w:eastAsia="Calibri" w:hAnsi="David"/>
          <w:noProof w:val="0"/>
          <w:rtl/>
        </w:rPr>
        <w:t xml:space="preserve">לטענתה לא זה המקרה הסוציאלי שסעיף 33 לחוק הגנת דייר נועד </w:t>
      </w:r>
      <w:proofErr w:type="spellStart"/>
      <w:r w:rsidRPr="00D6374C">
        <w:rPr>
          <w:rFonts w:ascii="David" w:eastAsia="Calibri" w:hAnsi="David"/>
          <w:noProof w:val="0"/>
          <w:rtl/>
        </w:rPr>
        <w:t>ליתן</w:t>
      </w:r>
      <w:proofErr w:type="spellEnd"/>
      <w:r w:rsidRPr="00D6374C">
        <w:rPr>
          <w:rFonts w:ascii="David" w:eastAsia="Calibri" w:hAnsi="David"/>
          <w:noProof w:val="0"/>
          <w:rtl/>
        </w:rPr>
        <w:t xml:space="preserve"> לבעל הנכס הגנה מפני פינוי.</w:t>
      </w:r>
    </w:p>
    <w:p w:rsidR="00D6374C" w:rsidRPr="00D6374C" w:rsidRDefault="00D6374C" w:rsidP="00D6374C">
      <w:pPr>
        <w:numPr>
          <w:ilvl w:val="0"/>
          <w:numId w:val="1"/>
        </w:numPr>
        <w:spacing w:after="160" w:line="360" w:lineRule="auto"/>
        <w:contextualSpacing/>
        <w:jc w:val="both"/>
        <w:rPr>
          <w:rFonts w:ascii="David" w:eastAsia="Calibri" w:hAnsi="David"/>
          <w:noProof w:val="0"/>
        </w:rPr>
      </w:pPr>
      <w:r w:rsidRPr="00D6374C">
        <w:rPr>
          <w:rFonts w:ascii="David" w:eastAsia="Calibri" w:hAnsi="David"/>
          <w:noProof w:val="0"/>
          <w:rtl/>
        </w:rPr>
        <w:t xml:space="preserve"> </w:t>
      </w:r>
      <w:r w:rsidRPr="00D6374C">
        <w:rPr>
          <w:rFonts w:ascii="David" w:eastAsia="Calibri" w:hAnsi="David" w:hint="cs"/>
          <w:noProof w:val="0"/>
          <w:rtl/>
        </w:rPr>
        <w:t xml:space="preserve">ומכאן, שיש להורות על פירוק השיתוף בדירה על דרך מכירתה בשוק החופשי כשהיא פנויה מכל חפץ ואדם. ובמסגרת האיזון הראוי, </w:t>
      </w:r>
      <w:proofErr w:type="spellStart"/>
      <w:r w:rsidRPr="00D6374C">
        <w:rPr>
          <w:rFonts w:ascii="David" w:eastAsia="Calibri" w:hAnsi="David" w:hint="cs"/>
          <w:noProof w:val="0"/>
          <w:rtl/>
        </w:rPr>
        <w:t>ליתן</w:t>
      </w:r>
      <w:proofErr w:type="spellEnd"/>
      <w:r w:rsidRPr="00D6374C">
        <w:rPr>
          <w:rFonts w:ascii="David" w:eastAsia="Calibri" w:hAnsi="David" w:hint="cs"/>
          <w:noProof w:val="0"/>
          <w:rtl/>
        </w:rPr>
        <w:t xml:space="preserve"> עדיפות לאינטרס נפגעי העבירה לאחר הרבה שנים של סבל למימוש הפיצוי הכספי ומנגד להקנות לנתבעים את הגנת סעיף 38 לחוק ההוצאה לפועל, היינו מציאת דיור חלופי.</w:t>
      </w:r>
    </w:p>
    <w:p w:rsidR="00D6374C" w:rsidRPr="00D6374C" w:rsidRDefault="00D6374C" w:rsidP="00D6374C">
      <w:pPr>
        <w:numPr>
          <w:ilvl w:val="0"/>
          <w:numId w:val="1"/>
        </w:numPr>
        <w:spacing w:after="160" w:line="360" w:lineRule="auto"/>
        <w:contextualSpacing/>
        <w:jc w:val="both"/>
        <w:rPr>
          <w:rFonts w:ascii="David" w:eastAsia="Calibri" w:hAnsi="David"/>
          <w:noProof w:val="0"/>
        </w:rPr>
      </w:pPr>
      <w:r w:rsidRPr="00D6374C">
        <w:rPr>
          <w:rFonts w:ascii="David" w:eastAsia="Calibri" w:hAnsi="David"/>
          <w:noProof w:val="0"/>
          <w:color w:val="000000"/>
          <w:rtl/>
        </w:rPr>
        <w:t xml:space="preserve">לטענתה, </w:t>
      </w:r>
      <w:r w:rsidRPr="00D6374C">
        <w:rPr>
          <w:rFonts w:ascii="David" w:eastAsia="Calibri" w:hAnsi="David"/>
          <w:noProof w:val="0"/>
          <w:rtl/>
        </w:rPr>
        <w:t xml:space="preserve">התנהלות הנתבעים, לאחר הפגיעות המיניות, נעשו בחוסר תו"ל קיצוני אשר יש בה כדי </w:t>
      </w:r>
      <w:proofErr w:type="spellStart"/>
      <w:r w:rsidRPr="00D6374C">
        <w:rPr>
          <w:rFonts w:ascii="David" w:eastAsia="Calibri" w:hAnsi="David"/>
          <w:noProof w:val="0"/>
          <w:rtl/>
        </w:rPr>
        <w:t>להחריג</w:t>
      </w:r>
      <w:proofErr w:type="spellEnd"/>
      <w:r w:rsidRPr="00D6374C">
        <w:rPr>
          <w:rFonts w:ascii="David" w:eastAsia="Calibri" w:hAnsi="David"/>
          <w:noProof w:val="0"/>
          <w:rtl/>
        </w:rPr>
        <w:t xml:space="preserve"> את הלכת "כובשי", ולשלול את הגנת סעיף 33 לחוק הגנת הדייר. כך במסגרת חיי הנישואין והשיתוף שלהם, המשיכו הנתבעים "לכלכל" יחדיו את המהלכים המשפטיים שלהם, ולפעול כדי לאיין את האפשרות שהנפגעים יוכלו לגבות את הפיצוי הכספי שנקבע להם בהסכמה. כך ברי כי הנתבע לא היה מגיע להסכמה על פיצוי נזיקי לנפגעים ללא ידיעת אשתו הנתבעת ובהסכמתה.</w:t>
      </w:r>
    </w:p>
    <w:p w:rsidR="00D6374C" w:rsidRPr="00D6374C" w:rsidRDefault="00D6374C" w:rsidP="00D6374C">
      <w:pPr>
        <w:spacing w:line="360" w:lineRule="auto"/>
        <w:ind w:left="1440"/>
        <w:contextualSpacing/>
        <w:jc w:val="both"/>
        <w:rPr>
          <w:rFonts w:ascii="David" w:eastAsia="Calibri" w:hAnsi="David"/>
          <w:noProof w:val="0"/>
        </w:rPr>
      </w:pPr>
      <w:r w:rsidRPr="00D6374C">
        <w:rPr>
          <w:rFonts w:ascii="David" w:eastAsia="Calibri" w:hAnsi="David"/>
          <w:noProof w:val="0"/>
          <w:color w:val="000000"/>
          <w:rtl/>
        </w:rPr>
        <w:t xml:space="preserve">הנתבע גם לא היה פותח בהליכי </w:t>
      </w:r>
      <w:proofErr w:type="spellStart"/>
      <w:r w:rsidRPr="00D6374C">
        <w:rPr>
          <w:rFonts w:ascii="David" w:eastAsia="Calibri" w:hAnsi="David"/>
          <w:noProof w:val="0"/>
          <w:color w:val="000000"/>
          <w:rtl/>
        </w:rPr>
        <w:t>חדל"פ</w:t>
      </w:r>
      <w:proofErr w:type="spellEnd"/>
      <w:r w:rsidRPr="00D6374C">
        <w:rPr>
          <w:rFonts w:ascii="David" w:eastAsia="Calibri" w:hAnsi="David"/>
          <w:noProof w:val="0"/>
          <w:color w:val="000000"/>
          <w:rtl/>
        </w:rPr>
        <w:t>, ללא ידיעת אשתו הנתבעת, הסכ</w:t>
      </w:r>
      <w:r w:rsidR="00D864B8">
        <w:rPr>
          <w:rFonts w:ascii="David" w:eastAsia="Calibri" w:hAnsi="David"/>
          <w:noProof w:val="0"/>
          <w:color w:val="000000"/>
          <w:rtl/>
        </w:rPr>
        <w:t>מתה ובשיתוף פעולה ע</w:t>
      </w:r>
      <w:r w:rsidRPr="00D6374C">
        <w:rPr>
          <w:rFonts w:ascii="David" w:eastAsia="Calibri" w:hAnsi="David"/>
          <w:noProof w:val="0"/>
          <w:color w:val="000000"/>
          <w:rtl/>
        </w:rPr>
        <w:t xml:space="preserve">מה, תוך ניסיון לחמוק מתשלום החוב שנקבע בהסכמתם לנפגעים. על כן, כבר בעת ההסכמה על הפיצוי שנקבע בתובענות הנזיקיות ידעה הנתבעת כי יש בכוונתה להמשיך ולשתף פעולה עם בעלה הנתבע על מנת לחמוק מחיוביו אלו, בין אם באמצעות הליך </w:t>
      </w:r>
      <w:proofErr w:type="spellStart"/>
      <w:r w:rsidRPr="00D6374C">
        <w:rPr>
          <w:rFonts w:ascii="David" w:eastAsia="Calibri" w:hAnsi="David"/>
          <w:noProof w:val="0"/>
          <w:color w:val="000000"/>
          <w:rtl/>
        </w:rPr>
        <w:t>חדל"פ</w:t>
      </w:r>
      <w:proofErr w:type="spellEnd"/>
      <w:r w:rsidRPr="00D6374C">
        <w:rPr>
          <w:rFonts w:ascii="David" w:eastAsia="Calibri" w:hAnsi="David"/>
          <w:noProof w:val="0"/>
          <w:color w:val="000000"/>
          <w:rtl/>
        </w:rPr>
        <w:t xml:space="preserve"> שלא צלח, ובין אם באמצעות טיעונים להגנה מכוח סעיף 33 לחוק הגנת הדייר אשר נועד להפחית את אפשרות גביית הפיצוי. התנהלותם כאמור פוגעת </w:t>
      </w:r>
      <w:proofErr w:type="spellStart"/>
      <w:r w:rsidRPr="00D6374C">
        <w:rPr>
          <w:rFonts w:ascii="David" w:eastAsia="Calibri" w:hAnsi="David"/>
          <w:noProof w:val="0"/>
          <w:color w:val="000000"/>
          <w:rtl/>
        </w:rPr>
        <w:t>בתוה"ל</w:t>
      </w:r>
      <w:proofErr w:type="spellEnd"/>
      <w:r w:rsidRPr="00D6374C">
        <w:rPr>
          <w:rFonts w:ascii="David" w:eastAsia="Calibri" w:hAnsi="David"/>
          <w:noProof w:val="0"/>
          <w:color w:val="000000"/>
          <w:rtl/>
        </w:rPr>
        <w:t xml:space="preserve"> של הנתבע, אך גם של אשתו הנתבעת, ומצדיק להחיל על המקרה את חריגי הלכת "כובשי".</w:t>
      </w:r>
    </w:p>
    <w:p w:rsidR="00D6374C" w:rsidRPr="00D6374C" w:rsidRDefault="00D6374C" w:rsidP="00D6374C">
      <w:pPr>
        <w:numPr>
          <w:ilvl w:val="0"/>
          <w:numId w:val="1"/>
        </w:numPr>
        <w:spacing w:after="160" w:line="360" w:lineRule="auto"/>
        <w:contextualSpacing/>
        <w:jc w:val="both"/>
        <w:rPr>
          <w:rFonts w:ascii="David" w:eastAsia="Calibri" w:hAnsi="David"/>
          <w:noProof w:val="0"/>
        </w:rPr>
      </w:pPr>
      <w:r w:rsidRPr="00D6374C">
        <w:rPr>
          <w:rFonts w:ascii="David" w:eastAsia="Calibri" w:hAnsi="David"/>
          <w:noProof w:val="0"/>
          <w:rtl/>
        </w:rPr>
        <w:t xml:space="preserve">התובעת ציינה כי גם ללא הגנת סעיף 33 לחוק הגנת הדייר, הנתבעים לא יוותרו ללא קורת גג, הואיל ובמסגרת פירוק שיתוף מכירת מחצית זכויותיה של הנתבעת בשוק החופשי, תאפשר לה לקבל את מלוא שווי חלקה בדירה, ובאמצעותו  יוכלו לספק לעצמם דיור חלופי. </w:t>
      </w:r>
    </w:p>
    <w:p w:rsidR="00D6374C" w:rsidRPr="00D6374C" w:rsidRDefault="00D6374C" w:rsidP="00D6374C">
      <w:pPr>
        <w:numPr>
          <w:ilvl w:val="0"/>
          <w:numId w:val="1"/>
        </w:numPr>
        <w:spacing w:after="160" w:line="360" w:lineRule="auto"/>
        <w:contextualSpacing/>
        <w:jc w:val="both"/>
        <w:rPr>
          <w:rFonts w:ascii="David" w:eastAsia="Calibri" w:hAnsi="David"/>
          <w:noProof w:val="0"/>
        </w:rPr>
      </w:pPr>
      <w:r w:rsidRPr="00D6374C">
        <w:rPr>
          <w:rFonts w:ascii="David" w:eastAsia="Calibri" w:hAnsi="David"/>
          <w:noProof w:val="0"/>
          <w:rtl/>
        </w:rPr>
        <w:t xml:space="preserve">התובעת דוחה את טענת הנתבעים כי אין לבצע כלל פירוק שיתוף, מהטעם שהדירה צריכה להימכר כתפוסה, ועל כן אין כדאיות כלכלית למכירתה. לשיטתה, טענת כדאיות כלכלית אינה רלוונטית בהליכים בבית משפט לענייני משפחה. בנוסף, זכותו של נושה, לנקוט בהליכים לגביית הפיצוי גם אם תוצאת ההליכים תהיה חלקית, ואין ספק כי גם אם הדירה תימכר כתפוסה, מכירתה תניב להם סכום כלשהו. </w:t>
      </w:r>
    </w:p>
    <w:p w:rsidR="00D6374C" w:rsidRPr="00D6374C" w:rsidRDefault="00D6374C" w:rsidP="00D6374C">
      <w:pPr>
        <w:numPr>
          <w:ilvl w:val="0"/>
          <w:numId w:val="1"/>
        </w:numPr>
        <w:spacing w:after="160" w:line="360" w:lineRule="auto"/>
        <w:contextualSpacing/>
        <w:jc w:val="both"/>
        <w:rPr>
          <w:rFonts w:ascii="David" w:eastAsia="Calibri" w:hAnsi="David"/>
          <w:noProof w:val="0"/>
        </w:rPr>
      </w:pPr>
      <w:r w:rsidRPr="00D6374C">
        <w:rPr>
          <w:rFonts w:ascii="David" w:eastAsia="Calibri" w:hAnsi="David"/>
          <w:noProof w:val="0"/>
          <w:rtl/>
        </w:rPr>
        <w:t xml:space="preserve">בסיכומו של דבר, לדידה, יש </w:t>
      </w:r>
      <w:proofErr w:type="spellStart"/>
      <w:r w:rsidRPr="00D6374C">
        <w:rPr>
          <w:rFonts w:ascii="David" w:eastAsia="Calibri" w:hAnsi="David"/>
          <w:noProof w:val="0"/>
          <w:rtl/>
        </w:rPr>
        <w:t>להחריג</w:t>
      </w:r>
      <w:proofErr w:type="spellEnd"/>
      <w:r w:rsidRPr="00D6374C">
        <w:rPr>
          <w:rFonts w:ascii="David" w:eastAsia="Calibri" w:hAnsi="David"/>
          <w:noProof w:val="0"/>
          <w:rtl/>
        </w:rPr>
        <w:t xml:space="preserve"> את הלכת "כובשי", להחיל את הפסיקות המאוחרות לה בנסיבות, ולהורות כי פירוק השיתוף יתבצע על דרך של מכירת הדירה למרבה במחיר וכפנויה מכל אדם וחפץ. לצורך ביצוע פירוק השיתוף בדירה על דרך מכירתה, עותרת למינויה ככונסת נכסים גם על זכויות הנתבעת בדירה וכי הליכי פירוק השיתוף ימשיכו ויתבצעו במסגרת תיק ההוצל"פ.</w:t>
      </w:r>
    </w:p>
    <w:p w:rsidR="00D6374C" w:rsidRPr="00D6374C" w:rsidRDefault="00D6374C" w:rsidP="00D6374C">
      <w:pPr>
        <w:numPr>
          <w:ilvl w:val="0"/>
          <w:numId w:val="1"/>
        </w:numPr>
        <w:spacing w:after="160" w:line="360" w:lineRule="auto"/>
        <w:contextualSpacing/>
        <w:jc w:val="both"/>
        <w:rPr>
          <w:rFonts w:ascii="David" w:eastAsia="Calibri" w:hAnsi="David"/>
          <w:noProof w:val="0"/>
        </w:rPr>
      </w:pPr>
      <w:r w:rsidRPr="00D6374C">
        <w:rPr>
          <w:rFonts w:ascii="David" w:eastAsia="Calibri" w:hAnsi="David"/>
          <w:noProof w:val="0"/>
          <w:rtl/>
        </w:rPr>
        <w:t>ולחילופין, ככל שייקבע כי לנתבעת זכות דיירות מוגנת, יובהר כי זכות זו מוקנית רק לה ולא לנתבע, ובית המשפט יתבקש להותיר לנפגעים את הזכות להחליט האם הם עומדים על פירוק השיתוף בדירה כבר עתה או שמא, לאור גיל הנתבעת והסכום הזעום היחסית שצפוי להתקבל ממכירת הדירה כתפוסה, הם יעדיפו שלא לפעול למימוש חלקו של הנתבע בדירה כנכס תפוס אלא להמתין עד אחרית ימי הנתבעת. או אז הם יוכ</w:t>
      </w:r>
      <w:r w:rsidR="00D864B8">
        <w:rPr>
          <w:rFonts w:ascii="David" w:eastAsia="Calibri" w:hAnsi="David"/>
          <w:noProof w:val="0"/>
          <w:rtl/>
        </w:rPr>
        <w:t xml:space="preserve">לו לפעול למימוש הנכס בשוויו </w:t>
      </w:r>
      <w:proofErr w:type="spellStart"/>
      <w:r w:rsidR="00D864B8">
        <w:rPr>
          <w:rFonts w:ascii="David" w:eastAsia="Calibri" w:hAnsi="David"/>
          <w:noProof w:val="0"/>
          <w:rtl/>
        </w:rPr>
        <w:t>האמ</w:t>
      </w:r>
      <w:r w:rsidR="00D864B8">
        <w:rPr>
          <w:rFonts w:ascii="David" w:eastAsia="Calibri" w:hAnsi="David" w:hint="cs"/>
          <w:noProof w:val="0"/>
          <w:rtl/>
        </w:rPr>
        <w:t>י</w:t>
      </w:r>
      <w:r w:rsidRPr="00D6374C">
        <w:rPr>
          <w:rFonts w:ascii="David" w:eastAsia="Calibri" w:hAnsi="David"/>
          <w:noProof w:val="0"/>
          <w:rtl/>
        </w:rPr>
        <w:t>תי</w:t>
      </w:r>
      <w:proofErr w:type="spellEnd"/>
      <w:r w:rsidRPr="00D6374C">
        <w:rPr>
          <w:rFonts w:ascii="David" w:eastAsia="Calibri" w:hAnsi="David"/>
          <w:noProof w:val="0"/>
          <w:rtl/>
        </w:rPr>
        <w:t xml:space="preserve"> ולא כנכס תפוס, דבר אשר יכול לאפשר להם להגדיל את הסכום שהם יוכלו לגבות בעתיד מחלקו של הנתבע בדירה.</w:t>
      </w:r>
    </w:p>
    <w:p w:rsidR="00D6374C" w:rsidRPr="00D6374C" w:rsidRDefault="00D6374C" w:rsidP="00D6374C">
      <w:pPr>
        <w:spacing w:after="160" w:line="360" w:lineRule="auto"/>
        <w:ind w:left="1440"/>
        <w:contextualSpacing/>
        <w:jc w:val="both"/>
        <w:rPr>
          <w:rFonts w:ascii="David" w:eastAsia="Calibri" w:hAnsi="David"/>
          <w:b/>
          <w:bCs/>
          <w:noProof w:val="0"/>
          <w:u w:val="single"/>
        </w:rPr>
      </w:pPr>
    </w:p>
    <w:p w:rsidR="00D6374C" w:rsidRPr="00D6374C" w:rsidRDefault="00D6374C" w:rsidP="00D6374C">
      <w:pPr>
        <w:spacing w:after="160" w:line="360" w:lineRule="auto"/>
        <w:ind w:left="1440"/>
        <w:contextualSpacing/>
        <w:jc w:val="both"/>
        <w:rPr>
          <w:rFonts w:ascii="David" w:eastAsia="Calibri" w:hAnsi="David"/>
          <w:b/>
          <w:bCs/>
          <w:noProof w:val="0"/>
          <w:u w:val="single"/>
          <w:rtl/>
        </w:rPr>
      </w:pPr>
      <w:r w:rsidRPr="00D6374C">
        <w:rPr>
          <w:rFonts w:ascii="David" w:eastAsia="Calibri" w:hAnsi="David"/>
          <w:b/>
          <w:bCs/>
          <w:noProof w:val="0"/>
          <w:u w:val="single"/>
          <w:rtl/>
        </w:rPr>
        <w:t>טענות הנתבעים</w:t>
      </w:r>
    </w:p>
    <w:p w:rsidR="00D6374C" w:rsidRPr="00D6374C" w:rsidRDefault="00D6374C" w:rsidP="00D6374C">
      <w:pPr>
        <w:numPr>
          <w:ilvl w:val="0"/>
          <w:numId w:val="1"/>
        </w:numPr>
        <w:spacing w:after="160" w:line="360" w:lineRule="auto"/>
        <w:contextualSpacing/>
        <w:jc w:val="both"/>
        <w:rPr>
          <w:rFonts w:ascii="David" w:eastAsia="Calibri" w:hAnsi="David"/>
          <w:noProof w:val="0"/>
        </w:rPr>
      </w:pPr>
      <w:r w:rsidRPr="00D6374C">
        <w:rPr>
          <w:rFonts w:ascii="David" w:eastAsia="Calibri" w:hAnsi="David"/>
          <w:noProof w:val="0"/>
          <w:rtl/>
        </w:rPr>
        <w:t xml:space="preserve">הנתבעים טענו בסיכומיהם כי הנתבע שרק הוא הינו החייב, אינו מתכחש לחובתו לשלם את הסכומים שנפסקו כנגדו, והתנגדותו לתביעה מבוססת על חובתו לדאוג לרעייתו, לבנו בעל הצרכים המיוחדים ולעצמו לקורת גג, בהתחשב בגילו המתקדם ובכושר השתכרותו המוגבל. </w:t>
      </w:r>
    </w:p>
    <w:p w:rsidR="00D6374C" w:rsidRPr="00D6374C" w:rsidRDefault="00D6374C" w:rsidP="00D6374C">
      <w:pPr>
        <w:numPr>
          <w:ilvl w:val="0"/>
          <w:numId w:val="1"/>
        </w:numPr>
        <w:spacing w:after="160" w:line="360" w:lineRule="auto"/>
        <w:contextualSpacing/>
        <w:jc w:val="both"/>
        <w:rPr>
          <w:rFonts w:ascii="David" w:eastAsia="Calibri" w:hAnsi="David"/>
          <w:noProof w:val="0"/>
        </w:rPr>
      </w:pPr>
      <w:r w:rsidRPr="00D6374C">
        <w:rPr>
          <w:rFonts w:ascii="David" w:eastAsia="Calibri" w:hAnsi="David"/>
          <w:noProof w:val="0"/>
          <w:rtl/>
        </w:rPr>
        <w:t>לשיטתו, גרסת המלך היא לערוך אומדן של זכויות הנתבע ולאפשר לו, קל וחומר לאשתו שותפתו לחיים ובעלת מחצית מהבעלות בדירה, שאינה חייבת דבר, לרכוש את הדירה בהתאם לשוויו בשוק, כתפוס.</w:t>
      </w:r>
    </w:p>
    <w:p w:rsidR="00D6374C" w:rsidRPr="00D6374C" w:rsidRDefault="00D6374C" w:rsidP="00D6374C">
      <w:pPr>
        <w:numPr>
          <w:ilvl w:val="0"/>
          <w:numId w:val="1"/>
        </w:numPr>
        <w:spacing w:after="160" w:line="360" w:lineRule="auto"/>
        <w:contextualSpacing/>
        <w:jc w:val="both"/>
        <w:rPr>
          <w:rFonts w:ascii="David" w:eastAsia="Calibri" w:hAnsi="David"/>
          <w:noProof w:val="0"/>
        </w:rPr>
      </w:pPr>
      <w:r w:rsidRPr="00D6374C">
        <w:rPr>
          <w:rFonts w:ascii="David" w:eastAsia="Calibri" w:hAnsi="David"/>
          <w:noProof w:val="0"/>
          <w:rtl/>
        </w:rPr>
        <w:t xml:space="preserve"> לגרסת הנתבעים, התובעת לא עמדה בנטל המקדמי לעניין פרטים אודות הדירה, כגון גודלה שוויה ונתונים רלוונטיים נוספים הנדרשים לצורך קיומה של תועלת בהליך, ולפיכך אין </w:t>
      </w:r>
      <w:proofErr w:type="spellStart"/>
      <w:r w:rsidRPr="00D6374C">
        <w:rPr>
          <w:rFonts w:ascii="David" w:eastAsia="Calibri" w:hAnsi="David"/>
          <w:noProof w:val="0"/>
          <w:rtl/>
        </w:rPr>
        <w:t>ליתן</w:t>
      </w:r>
      <w:proofErr w:type="spellEnd"/>
      <w:r w:rsidRPr="00D6374C">
        <w:rPr>
          <w:rFonts w:ascii="David" w:eastAsia="Calibri" w:hAnsi="David"/>
          <w:noProof w:val="0"/>
          <w:rtl/>
        </w:rPr>
        <w:t xml:space="preserve"> צו לפירוק שיתוף בטרם קבלת הערכת שמאי. </w:t>
      </w:r>
    </w:p>
    <w:p w:rsidR="00D6374C" w:rsidRPr="00D6374C" w:rsidRDefault="00D6374C" w:rsidP="00D6374C">
      <w:pPr>
        <w:numPr>
          <w:ilvl w:val="0"/>
          <w:numId w:val="1"/>
        </w:numPr>
        <w:spacing w:after="160" w:line="360" w:lineRule="auto"/>
        <w:contextualSpacing/>
        <w:jc w:val="both"/>
        <w:rPr>
          <w:rFonts w:ascii="David" w:eastAsia="Calibri" w:hAnsi="David"/>
          <w:noProof w:val="0"/>
        </w:rPr>
      </w:pPr>
      <w:r w:rsidRPr="00D6374C">
        <w:rPr>
          <w:rFonts w:ascii="David" w:eastAsia="Calibri" w:hAnsi="David"/>
          <w:noProof w:val="0"/>
          <w:rtl/>
        </w:rPr>
        <w:t>הנתבעים טוענים</w:t>
      </w:r>
      <w:r w:rsidR="00D864B8">
        <w:rPr>
          <w:rFonts w:ascii="David" w:eastAsia="Calibri" w:hAnsi="David" w:hint="cs"/>
          <w:noProof w:val="0"/>
          <w:rtl/>
        </w:rPr>
        <w:t>,</w:t>
      </w:r>
      <w:r w:rsidRPr="00D6374C">
        <w:rPr>
          <w:rFonts w:ascii="David" w:eastAsia="Calibri" w:hAnsi="David"/>
          <w:noProof w:val="0"/>
          <w:rtl/>
        </w:rPr>
        <w:t xml:space="preserve"> כי הדירה מצויה בשכונה מוחלשת ודלת אמצעים אשר שוויה על כל ההוצאות הכרוכות בכך, לא יצמיח תועלת כלכלית לנושים. ומאידך, מימושה בכפייה יפגע בחייב ובני משפחתו. ולפיכך, די במצב הקיים בו מוטל עיקול על נכסיו בדירה, ויש לאפשר לו ולמשפחתו להוסיף ולהתגורר בנכס כדיירים מוגנים ולמכרו כתפוס, זאת מכוח חוק הגנת הדייר.</w:t>
      </w:r>
    </w:p>
    <w:p w:rsidR="00D6374C" w:rsidRPr="00D6374C" w:rsidRDefault="00D6374C" w:rsidP="00D6374C">
      <w:pPr>
        <w:numPr>
          <w:ilvl w:val="0"/>
          <w:numId w:val="1"/>
        </w:numPr>
        <w:spacing w:after="160" w:line="360" w:lineRule="auto"/>
        <w:contextualSpacing/>
        <w:jc w:val="both"/>
        <w:rPr>
          <w:rFonts w:ascii="David" w:eastAsia="Calibri" w:hAnsi="David"/>
          <w:noProof w:val="0"/>
        </w:rPr>
      </w:pPr>
      <w:r w:rsidRPr="00D6374C">
        <w:rPr>
          <w:rFonts w:ascii="David" w:eastAsia="Calibri" w:hAnsi="David"/>
          <w:noProof w:val="0"/>
          <w:rtl/>
        </w:rPr>
        <w:t xml:space="preserve">עוד טוענים הנתבעים, כי חלה בעניינם הלכת כובשי, ואין מקום לצמצמה, בנסיבותיהם. כך גם, אין מקום להחלת הלכות שנפסקו בתיקי </w:t>
      </w:r>
      <w:proofErr w:type="spellStart"/>
      <w:r w:rsidRPr="00D6374C">
        <w:rPr>
          <w:rFonts w:ascii="David" w:eastAsia="Calibri" w:hAnsi="David"/>
          <w:noProof w:val="0"/>
          <w:rtl/>
        </w:rPr>
        <w:t>פש"ר</w:t>
      </w:r>
      <w:proofErr w:type="spellEnd"/>
      <w:r w:rsidRPr="00D6374C">
        <w:rPr>
          <w:rFonts w:ascii="David" w:eastAsia="Calibri" w:hAnsi="David"/>
          <w:noProof w:val="0"/>
          <w:rtl/>
        </w:rPr>
        <w:t xml:space="preserve">, שכן בניגוד להן, היוזמה לפירוק שיתוף היא של כונס הנכסים ואין בפנינו בקשת מימוש במסגרת תיק </w:t>
      </w:r>
      <w:proofErr w:type="spellStart"/>
      <w:r w:rsidRPr="00D6374C">
        <w:rPr>
          <w:rFonts w:ascii="David" w:eastAsia="Calibri" w:hAnsi="David"/>
          <w:noProof w:val="0"/>
          <w:rtl/>
        </w:rPr>
        <w:t>פש"ר</w:t>
      </w:r>
      <w:proofErr w:type="spellEnd"/>
      <w:r w:rsidRPr="00D6374C">
        <w:rPr>
          <w:rFonts w:ascii="David" w:eastAsia="Calibri" w:hAnsi="David"/>
          <w:noProof w:val="0"/>
          <w:rtl/>
        </w:rPr>
        <w:t xml:space="preserve"> אלא במסגרת תביעה אזרחית.</w:t>
      </w:r>
    </w:p>
    <w:p w:rsidR="00D6374C" w:rsidRPr="00D6374C" w:rsidRDefault="00D6374C" w:rsidP="00D6374C">
      <w:pPr>
        <w:numPr>
          <w:ilvl w:val="0"/>
          <w:numId w:val="1"/>
        </w:numPr>
        <w:spacing w:after="160" w:line="360" w:lineRule="auto"/>
        <w:contextualSpacing/>
        <w:jc w:val="both"/>
        <w:rPr>
          <w:rFonts w:ascii="David" w:eastAsia="Calibri" w:hAnsi="David"/>
          <w:noProof w:val="0"/>
        </w:rPr>
      </w:pPr>
      <w:r w:rsidRPr="00D6374C">
        <w:rPr>
          <w:rFonts w:ascii="David" w:eastAsia="Calibri" w:hAnsi="David"/>
          <w:noProof w:val="0"/>
          <w:rtl/>
        </w:rPr>
        <w:t>בנוסף, יש לדחות את ניסיונה של התובעת, תוך העלאת טענות שלא הוכחו כלל ובשינוי חזית, להשית על הנתבעת אחריות לפירעון הסכומים שנפסקו לחובת הנתבע בפסקי הדין, שכן אין לה כל אחריות או מחויבות לפירעון סכומים אלה, אשר הושתו אך ורק על הנתבע.</w:t>
      </w:r>
    </w:p>
    <w:p w:rsidR="00D6374C" w:rsidRPr="00D6374C" w:rsidRDefault="00D6374C" w:rsidP="00D6374C">
      <w:pPr>
        <w:numPr>
          <w:ilvl w:val="0"/>
          <w:numId w:val="1"/>
        </w:numPr>
        <w:spacing w:after="160" w:line="360" w:lineRule="auto"/>
        <w:contextualSpacing/>
        <w:jc w:val="both"/>
        <w:rPr>
          <w:rFonts w:ascii="David" w:eastAsia="Calibri" w:hAnsi="David"/>
          <w:noProof w:val="0"/>
        </w:rPr>
      </w:pPr>
      <w:r w:rsidRPr="00D6374C">
        <w:rPr>
          <w:rFonts w:ascii="David" w:eastAsia="Calibri" w:hAnsi="David"/>
          <w:noProof w:val="0"/>
          <w:rtl/>
        </w:rPr>
        <w:t>עוד מתנגדים הנתבעים לבקשת התובעת, להותיר לנפגעים את הזכות להחליט, האם הם עומדים על פירוק השיתוף בדירה, במקרה שיקבע כי חלקו של הנתבע יימכר כתפוס.</w:t>
      </w:r>
    </w:p>
    <w:p w:rsidR="00D6374C" w:rsidRPr="00D6374C" w:rsidRDefault="00D6374C" w:rsidP="00D6374C">
      <w:pPr>
        <w:numPr>
          <w:ilvl w:val="0"/>
          <w:numId w:val="1"/>
        </w:numPr>
        <w:spacing w:after="160" w:line="360" w:lineRule="auto"/>
        <w:contextualSpacing/>
        <w:jc w:val="both"/>
        <w:rPr>
          <w:rFonts w:ascii="David" w:eastAsia="Calibri" w:hAnsi="David"/>
          <w:noProof w:val="0"/>
        </w:rPr>
      </w:pPr>
      <w:r w:rsidRPr="00D6374C">
        <w:rPr>
          <w:rFonts w:ascii="David" w:eastAsia="Calibri" w:hAnsi="David"/>
          <w:noProof w:val="0"/>
          <w:rtl/>
        </w:rPr>
        <w:t xml:space="preserve">לגישתם, במסגרת </w:t>
      </w:r>
      <w:proofErr w:type="spellStart"/>
      <w:r w:rsidRPr="00D6374C">
        <w:rPr>
          <w:rFonts w:ascii="David" w:eastAsia="Calibri" w:hAnsi="David"/>
          <w:noProof w:val="0"/>
          <w:rtl/>
        </w:rPr>
        <w:t>האיזונים</w:t>
      </w:r>
      <w:proofErr w:type="spellEnd"/>
      <w:r w:rsidRPr="00D6374C">
        <w:rPr>
          <w:rFonts w:ascii="David" w:eastAsia="Calibri" w:hAnsi="David"/>
          <w:noProof w:val="0"/>
          <w:rtl/>
        </w:rPr>
        <w:t xml:space="preserve"> בין טובת ואינטרס החייב לבין אינטרס הנושים יש לאפשר לחייב לפדות את הנכס באמצעות שוויו "נטו"</w:t>
      </w:r>
      <w:r w:rsidR="00D864B8">
        <w:rPr>
          <w:rFonts w:ascii="David" w:eastAsia="Calibri" w:hAnsi="David" w:hint="cs"/>
          <w:noProof w:val="0"/>
        </w:rPr>
        <w:t xml:space="preserve"> </w:t>
      </w:r>
      <w:r w:rsidRPr="00D6374C">
        <w:rPr>
          <w:rFonts w:ascii="David" w:eastAsia="Calibri" w:hAnsi="David"/>
          <w:noProof w:val="0"/>
          <w:rtl/>
        </w:rPr>
        <w:t xml:space="preserve">בשוק החופשי. </w:t>
      </w:r>
    </w:p>
    <w:p w:rsidR="00D6374C" w:rsidRPr="00D6374C" w:rsidRDefault="00D6374C" w:rsidP="00D6374C">
      <w:pPr>
        <w:spacing w:line="360" w:lineRule="auto"/>
        <w:ind w:left="1440"/>
        <w:contextualSpacing/>
        <w:jc w:val="both"/>
        <w:rPr>
          <w:rFonts w:ascii="David" w:eastAsia="Calibri" w:hAnsi="David"/>
          <w:noProof w:val="0"/>
        </w:rPr>
      </w:pPr>
    </w:p>
    <w:p w:rsidR="00D6374C" w:rsidRPr="00D6374C" w:rsidRDefault="00D6374C" w:rsidP="00D6374C">
      <w:pPr>
        <w:spacing w:after="160" w:line="360" w:lineRule="auto"/>
        <w:ind w:left="720" w:firstLine="720"/>
        <w:jc w:val="both"/>
        <w:rPr>
          <w:rFonts w:ascii="David" w:eastAsia="Calibri" w:hAnsi="David"/>
          <w:b/>
          <w:bCs/>
          <w:noProof w:val="0"/>
          <w:u w:val="single"/>
        </w:rPr>
      </w:pPr>
      <w:r w:rsidRPr="00D6374C">
        <w:rPr>
          <w:rFonts w:ascii="David" w:eastAsia="Calibri" w:hAnsi="David"/>
          <w:b/>
          <w:bCs/>
          <w:noProof w:val="0"/>
          <w:u w:val="single"/>
          <w:rtl/>
        </w:rPr>
        <w:t>הכרעה</w:t>
      </w:r>
    </w:p>
    <w:p w:rsidR="00D6374C" w:rsidRPr="00D6374C" w:rsidRDefault="00D6374C" w:rsidP="00D6374C">
      <w:pPr>
        <w:numPr>
          <w:ilvl w:val="0"/>
          <w:numId w:val="1"/>
        </w:numPr>
        <w:spacing w:after="160" w:line="360" w:lineRule="auto"/>
        <w:contextualSpacing/>
        <w:jc w:val="both"/>
        <w:rPr>
          <w:rFonts w:ascii="David" w:eastAsia="Calibri" w:hAnsi="David"/>
          <w:noProof w:val="0"/>
          <w:rtl/>
        </w:rPr>
      </w:pPr>
      <w:r w:rsidRPr="00D6374C">
        <w:rPr>
          <w:rFonts w:ascii="David" w:eastAsia="Calibri" w:hAnsi="David"/>
          <w:noProof w:val="0"/>
          <w:rtl/>
        </w:rPr>
        <w:t>דירת המגורים רשומה על שם שני הנתבעים.</w:t>
      </w:r>
    </w:p>
    <w:p w:rsidR="00D6374C" w:rsidRPr="00D6374C" w:rsidRDefault="00D6374C" w:rsidP="00D6374C">
      <w:pPr>
        <w:numPr>
          <w:ilvl w:val="0"/>
          <w:numId w:val="1"/>
        </w:numPr>
        <w:spacing w:after="160" w:line="360" w:lineRule="auto"/>
        <w:contextualSpacing/>
        <w:jc w:val="both"/>
        <w:rPr>
          <w:rFonts w:ascii="David" w:eastAsia="Calibri" w:hAnsi="David"/>
          <w:noProof w:val="0"/>
        </w:rPr>
      </w:pPr>
      <w:r w:rsidRPr="00D6374C">
        <w:rPr>
          <w:rFonts w:ascii="David" w:eastAsia="Calibri" w:hAnsi="David"/>
          <w:noProof w:val="0"/>
          <w:rtl/>
        </w:rPr>
        <w:t xml:space="preserve">נקבע בפסיקה כי כונס הנכסים של החייב רשאי להגיש בשמו תביעה לפירוק השיתוף בנכס, גם כאשר מדובר בדירת המגורים של שני בני הזוג, וגם כאשר החוב שבשלו הנושה תובע את פירוק השיתוף הוא חוב "פרטי" של החייב, שלבן זוגו של החייב אין חלק בו (רע"א 8233/08 </w:t>
      </w:r>
      <w:r w:rsidRPr="00D6374C">
        <w:rPr>
          <w:rFonts w:ascii="David" w:eastAsia="Calibri" w:hAnsi="David"/>
          <w:b/>
          <w:bCs/>
          <w:noProof w:val="0"/>
          <w:rtl/>
        </w:rPr>
        <w:t>כובשי נ' שוורץ</w:t>
      </w:r>
      <w:r w:rsidRPr="00D6374C">
        <w:rPr>
          <w:rFonts w:ascii="David" w:eastAsia="Calibri" w:hAnsi="David"/>
          <w:noProof w:val="0"/>
          <w:rtl/>
        </w:rPr>
        <w:t xml:space="preserve">, פורסם בנו מיום 10.10.10, להלן: "הלכת כובשי"). </w:t>
      </w:r>
    </w:p>
    <w:p w:rsidR="00D6374C" w:rsidRPr="00D6374C" w:rsidRDefault="00D6374C" w:rsidP="00D6374C">
      <w:pPr>
        <w:numPr>
          <w:ilvl w:val="0"/>
          <w:numId w:val="1"/>
        </w:numPr>
        <w:spacing w:after="160" w:line="360" w:lineRule="auto"/>
        <w:contextualSpacing/>
        <w:jc w:val="both"/>
        <w:rPr>
          <w:rFonts w:ascii="David" w:eastAsia="Calibri" w:hAnsi="David"/>
          <w:noProof w:val="0"/>
          <w:rtl/>
        </w:rPr>
      </w:pPr>
      <w:r w:rsidRPr="00D6374C">
        <w:rPr>
          <w:rFonts w:ascii="David" w:eastAsia="Calibri" w:hAnsi="David"/>
          <w:noProof w:val="0"/>
          <w:rtl/>
        </w:rPr>
        <w:t>עם זאת, הגם שהכונס במקרה הספציפי בא בנעליו של החייב, הרי שסעיף 40 א לחוק המקרקעין, העוסק בפירוק שיתוף בדירת מגורים הרשומה על שם שני בני הזוג בחלקים שווים, לא יחול במקרה של תביעה לפירוק שיתוף המוגשת על ידו.</w:t>
      </w:r>
    </w:p>
    <w:p w:rsidR="00D6374C" w:rsidRPr="00D6374C" w:rsidRDefault="00D6374C" w:rsidP="00D6374C">
      <w:pPr>
        <w:numPr>
          <w:ilvl w:val="0"/>
          <w:numId w:val="1"/>
        </w:numPr>
        <w:spacing w:after="160" w:line="360" w:lineRule="auto"/>
        <w:contextualSpacing/>
        <w:jc w:val="both"/>
        <w:rPr>
          <w:rFonts w:ascii="David" w:eastAsia="Calibri" w:hAnsi="David"/>
          <w:noProof w:val="0"/>
        </w:rPr>
      </w:pPr>
      <w:r w:rsidRPr="00D6374C">
        <w:rPr>
          <w:rFonts w:ascii="David" w:eastAsia="Calibri" w:hAnsi="David"/>
          <w:noProof w:val="0"/>
          <w:rtl/>
        </w:rPr>
        <w:t>משום כך, במקרים שבהם אחד מבני הזוג יוזם את פירוק השיתוף בדירת המגורים של בני הזוג, סעיף 33 לחוק הגנת הדייר, המקנה למחזיק הייחודי מעמד של דייר מוגן, אינו חל, ודירת המגורים נמכרת כפנויה (בכפוף למנגנון ההגנה על מדורם של בני הזוג כתנאי לפירוק שיתוף).</w:t>
      </w:r>
    </w:p>
    <w:p w:rsidR="00D6374C" w:rsidRPr="00D6374C" w:rsidRDefault="00D6374C" w:rsidP="00D6374C">
      <w:pPr>
        <w:numPr>
          <w:ilvl w:val="0"/>
          <w:numId w:val="1"/>
        </w:numPr>
        <w:spacing w:after="160" w:line="360" w:lineRule="auto"/>
        <w:contextualSpacing/>
        <w:jc w:val="both"/>
        <w:rPr>
          <w:rFonts w:ascii="David" w:eastAsia="Calibri" w:hAnsi="David"/>
          <w:noProof w:val="0"/>
          <w:rtl/>
        </w:rPr>
      </w:pPr>
      <w:r w:rsidRPr="00D6374C">
        <w:rPr>
          <w:rFonts w:ascii="David" w:eastAsia="Calibri" w:hAnsi="David"/>
          <w:noProof w:val="0"/>
          <w:rtl/>
        </w:rPr>
        <w:t>ואילו, כאשר הכונס הוא שיוזם את פירוק השיתוף, הסעיף חל, ודירת המגורים נמכרת כתפוסה.</w:t>
      </w:r>
    </w:p>
    <w:p w:rsidR="00D6374C" w:rsidRPr="00D6374C" w:rsidRDefault="00D6374C" w:rsidP="00D6374C">
      <w:pPr>
        <w:numPr>
          <w:ilvl w:val="0"/>
          <w:numId w:val="1"/>
        </w:numPr>
        <w:spacing w:after="160" w:line="360" w:lineRule="auto"/>
        <w:contextualSpacing/>
        <w:jc w:val="both"/>
        <w:rPr>
          <w:rFonts w:ascii="David" w:eastAsia="Calibri" w:hAnsi="David"/>
          <w:noProof w:val="0"/>
        </w:rPr>
      </w:pPr>
      <w:r w:rsidRPr="00D6374C">
        <w:rPr>
          <w:rFonts w:ascii="David" w:eastAsia="Calibri" w:hAnsi="David"/>
          <w:noProof w:val="0"/>
          <w:rtl/>
        </w:rPr>
        <w:t xml:space="preserve">המשמעות הכלכלית היא, שיזכו </w:t>
      </w:r>
      <w:proofErr w:type="spellStart"/>
      <w:r w:rsidRPr="00D6374C">
        <w:rPr>
          <w:rFonts w:ascii="David" w:eastAsia="Calibri" w:hAnsi="David"/>
          <w:noProof w:val="0"/>
          <w:rtl/>
        </w:rPr>
        <w:t>נושיו</w:t>
      </w:r>
      <w:proofErr w:type="spellEnd"/>
      <w:r w:rsidRPr="00D6374C">
        <w:rPr>
          <w:rFonts w:ascii="David" w:eastAsia="Calibri" w:hAnsi="David"/>
          <w:noProof w:val="0"/>
          <w:rtl/>
        </w:rPr>
        <w:t xml:space="preserve"> של החייב להיבנות בסופו של דבר, רק ממחצית ערך הדירה כתפוסה.</w:t>
      </w:r>
    </w:p>
    <w:p w:rsidR="00D6374C" w:rsidRPr="00D6374C" w:rsidRDefault="00D6374C" w:rsidP="00D6374C">
      <w:pPr>
        <w:numPr>
          <w:ilvl w:val="0"/>
          <w:numId w:val="1"/>
        </w:numPr>
        <w:spacing w:after="160" w:line="360" w:lineRule="auto"/>
        <w:contextualSpacing/>
        <w:jc w:val="both"/>
        <w:rPr>
          <w:rFonts w:ascii="David" w:eastAsia="Calibri" w:hAnsi="David"/>
          <w:noProof w:val="0"/>
        </w:rPr>
      </w:pPr>
      <w:r w:rsidRPr="00D6374C">
        <w:rPr>
          <w:rFonts w:ascii="David" w:eastAsia="Calibri" w:hAnsi="David"/>
          <w:noProof w:val="0"/>
          <w:rtl/>
        </w:rPr>
        <w:t>כאמור, אין חולק כי כונס הנכסים רשאי לבוא בנעליו של החייב וליזום הליך של פירוק שיתוף בדירה הרשומה על שם שני בני הזוג, גם אם החוב נוצר עקב פעולה חד צדדית של החייב וגם אם היחסים ביניהם תקינים (הלכת "כובשי").</w:t>
      </w:r>
    </w:p>
    <w:p w:rsidR="00D6374C" w:rsidRPr="00D6374C" w:rsidRDefault="00D6374C" w:rsidP="00D6374C">
      <w:pPr>
        <w:numPr>
          <w:ilvl w:val="0"/>
          <w:numId w:val="1"/>
        </w:numPr>
        <w:spacing w:after="160" w:line="360" w:lineRule="auto"/>
        <w:contextualSpacing/>
        <w:jc w:val="both"/>
        <w:rPr>
          <w:rFonts w:ascii="David" w:eastAsia="Calibri" w:hAnsi="David"/>
          <w:noProof w:val="0"/>
        </w:rPr>
      </w:pPr>
      <w:r w:rsidRPr="00D6374C">
        <w:rPr>
          <w:rFonts w:ascii="David" w:eastAsia="Calibri" w:hAnsi="David"/>
          <w:noProof w:val="0"/>
          <w:rtl/>
        </w:rPr>
        <w:t>ואולם, כונסת הנכסים, לא יכולה לטעון לשיתוף הנתבעת בחוב של הנתבע, מכוח אחריותה המשותפת, כדי לממש את חובו של הנתבע מכל הדירה שהיא פרי מאמץ משותף, לרבות חלקה של הנתבעת בדירה.</w:t>
      </w:r>
    </w:p>
    <w:p w:rsidR="00D6374C" w:rsidRPr="00D6374C" w:rsidRDefault="00D6374C" w:rsidP="00D6374C">
      <w:pPr>
        <w:numPr>
          <w:ilvl w:val="0"/>
          <w:numId w:val="1"/>
        </w:numPr>
        <w:spacing w:after="160" w:line="360" w:lineRule="auto"/>
        <w:contextualSpacing/>
        <w:jc w:val="both"/>
        <w:rPr>
          <w:rFonts w:ascii="David" w:eastAsia="Calibri" w:hAnsi="David"/>
          <w:noProof w:val="0"/>
        </w:rPr>
      </w:pPr>
      <w:r w:rsidRPr="00D6374C">
        <w:rPr>
          <w:rFonts w:ascii="David" w:eastAsia="Calibri" w:hAnsi="David"/>
          <w:noProof w:val="0"/>
          <w:rtl/>
        </w:rPr>
        <w:t>ראשית מן הטעם הדיוני, לא ניתן להשית על הנתבעת מכוח המשך חיי הנישואין והשיתוף ועמידתה לצד הנתבע במהלכים המשפטיים לרבות הפשרה לפיצוי נזיקי לנפגעים בתובענות הנזיקיות, כל חיוב לפירעון הפיצוי הכספי שנפסק לחובת הנתבע בפסקי הדין, שעה שאין לה כל אחריות ליצירתם ונקל לשער כי היא מצרה על כך. מעבר לכך, שתמיכתה הבלתי מסויגת במהלכים המשפטיים לא הוכחה ומה גם שמדובר בשינוי חזית.</w:t>
      </w:r>
    </w:p>
    <w:p w:rsidR="00D6374C" w:rsidRPr="00D6374C" w:rsidRDefault="00D6374C" w:rsidP="00D6374C">
      <w:pPr>
        <w:numPr>
          <w:ilvl w:val="0"/>
          <w:numId w:val="1"/>
        </w:numPr>
        <w:spacing w:after="160" w:line="360" w:lineRule="auto"/>
        <w:contextualSpacing/>
        <w:jc w:val="both"/>
        <w:rPr>
          <w:rFonts w:ascii="David" w:eastAsia="Calibri" w:hAnsi="David"/>
          <w:noProof w:val="0"/>
        </w:rPr>
      </w:pPr>
      <w:r w:rsidRPr="00D6374C">
        <w:rPr>
          <w:rFonts w:ascii="David" w:eastAsia="Calibri" w:hAnsi="David"/>
          <w:noProof w:val="0"/>
          <w:rtl/>
        </w:rPr>
        <w:t xml:space="preserve">שנית מן הטעם המהותי, הסדר איזון משאבים אינו מטיל אחריות ישירה על בן הזוג כלפי הנושה. סעיף 4 לחוק יחסי ממון בין בני זוג, </w:t>
      </w:r>
      <w:proofErr w:type="spellStart"/>
      <w:r w:rsidRPr="00D6374C">
        <w:rPr>
          <w:rFonts w:ascii="David" w:eastAsia="Calibri" w:hAnsi="David"/>
          <w:noProof w:val="0"/>
          <w:rtl/>
        </w:rPr>
        <w:t>התשל"ג</w:t>
      </w:r>
      <w:proofErr w:type="spellEnd"/>
      <w:r w:rsidRPr="00D6374C">
        <w:rPr>
          <w:rFonts w:ascii="David" w:eastAsia="Calibri" w:hAnsi="David"/>
          <w:noProof w:val="0"/>
          <w:rtl/>
        </w:rPr>
        <w:t xml:space="preserve"> 1973 (להלן: "</w:t>
      </w:r>
      <w:r w:rsidRPr="00D6374C">
        <w:rPr>
          <w:rFonts w:ascii="David" w:eastAsia="Calibri" w:hAnsi="David"/>
          <w:b/>
          <w:bCs/>
          <w:noProof w:val="0"/>
          <w:rtl/>
        </w:rPr>
        <w:t>חוק יחסי ממון</w:t>
      </w:r>
      <w:r w:rsidRPr="00D6374C">
        <w:rPr>
          <w:rFonts w:ascii="David" w:eastAsia="Calibri" w:hAnsi="David"/>
          <w:noProof w:val="0"/>
          <w:rtl/>
        </w:rPr>
        <w:t>") קובע אין בכריתת הנישואים או בקיומם כשלעצמם כדי להטיל על בני הזוג אחריות לחובות בן הזוג האחר.</w:t>
      </w:r>
    </w:p>
    <w:p w:rsidR="00D6374C" w:rsidRPr="00D6374C" w:rsidRDefault="00D6374C" w:rsidP="00D6374C">
      <w:pPr>
        <w:numPr>
          <w:ilvl w:val="0"/>
          <w:numId w:val="1"/>
        </w:numPr>
        <w:spacing w:after="160" w:line="360" w:lineRule="auto"/>
        <w:contextualSpacing/>
        <w:jc w:val="both"/>
        <w:rPr>
          <w:rFonts w:ascii="David" w:eastAsia="Calibri" w:hAnsi="David"/>
          <w:noProof w:val="0"/>
        </w:rPr>
      </w:pPr>
      <w:r w:rsidRPr="00D6374C">
        <w:rPr>
          <w:rFonts w:ascii="David" w:eastAsia="Calibri" w:hAnsi="David"/>
          <w:noProof w:val="0"/>
          <w:rtl/>
        </w:rPr>
        <w:t>סעיף 10 לחוק יחסי ממון, קובע כי זכותו של בן זוג לאיזון המשאבים אינה ניתנה להעברה, לשעבוד או לעיקול כל עוד אינו זכאי לממשה.</w:t>
      </w:r>
    </w:p>
    <w:p w:rsidR="00D6374C" w:rsidRPr="00D6374C" w:rsidRDefault="00D6374C" w:rsidP="00D6374C">
      <w:pPr>
        <w:spacing w:line="360" w:lineRule="auto"/>
        <w:ind w:left="1440"/>
        <w:contextualSpacing/>
        <w:jc w:val="both"/>
        <w:rPr>
          <w:rFonts w:ascii="David" w:eastAsia="Calibri" w:hAnsi="David"/>
          <w:noProof w:val="0"/>
        </w:rPr>
      </w:pPr>
      <w:r w:rsidRPr="00D6374C">
        <w:rPr>
          <w:rFonts w:ascii="David" w:eastAsia="Calibri" w:hAnsi="David"/>
          <w:noProof w:val="0"/>
          <w:rtl/>
        </w:rPr>
        <w:t>לפיכך</w:t>
      </w:r>
      <w:r w:rsidR="00D864B8">
        <w:rPr>
          <w:rFonts w:ascii="David" w:eastAsia="Calibri" w:hAnsi="David" w:hint="cs"/>
          <w:noProof w:val="0"/>
          <w:rtl/>
        </w:rPr>
        <w:t>,</w:t>
      </w:r>
      <w:r w:rsidRPr="00D6374C">
        <w:rPr>
          <w:rFonts w:ascii="David" w:eastAsia="Calibri" w:hAnsi="David"/>
          <w:noProof w:val="0"/>
          <w:rtl/>
        </w:rPr>
        <w:t xml:space="preserve"> כל עוד לא פקעו הנישואים, או לחילופין לא חל אירוע מפקיע לפי סעיף 5א לחוק יחסי ממון, לא יכולה כונסת הנכסים לבוא בנעליו של החייב – הנתבע, ולדרוש את איזון המשאבים או אף לעקל את זכות בת הזוג מכוח האיזון.</w:t>
      </w:r>
    </w:p>
    <w:p w:rsidR="00D6374C" w:rsidRPr="00D6374C" w:rsidRDefault="00D6374C" w:rsidP="00D6374C">
      <w:pPr>
        <w:numPr>
          <w:ilvl w:val="0"/>
          <w:numId w:val="1"/>
        </w:numPr>
        <w:spacing w:after="160" w:line="360" w:lineRule="auto"/>
        <w:contextualSpacing/>
        <w:jc w:val="both"/>
        <w:rPr>
          <w:rFonts w:ascii="David" w:eastAsia="Calibri" w:hAnsi="David"/>
          <w:noProof w:val="0"/>
          <w:rtl/>
        </w:rPr>
      </w:pPr>
      <w:r w:rsidRPr="00D6374C">
        <w:rPr>
          <w:rFonts w:ascii="David" w:eastAsia="Calibri" w:hAnsi="David"/>
          <w:noProof w:val="0"/>
          <w:rtl/>
        </w:rPr>
        <w:t>בנוסף, השותפות בחובות, חלה במישור היחסים הפנימי בלבד, ואינה יוצרת חבות עצמאית של בן זוגו של החייב כלפי הנושה.</w:t>
      </w:r>
    </w:p>
    <w:p w:rsidR="00D6374C" w:rsidRPr="00D6374C" w:rsidRDefault="00D6374C" w:rsidP="00D6374C">
      <w:pPr>
        <w:spacing w:line="360" w:lineRule="auto"/>
        <w:ind w:left="1440"/>
        <w:contextualSpacing/>
        <w:jc w:val="both"/>
        <w:rPr>
          <w:rFonts w:ascii="David" w:eastAsia="Calibri" w:hAnsi="David"/>
          <w:noProof w:val="0"/>
          <w:rtl/>
        </w:rPr>
      </w:pPr>
      <w:r w:rsidRPr="00D6374C">
        <w:rPr>
          <w:rFonts w:ascii="David" w:eastAsia="Calibri" w:hAnsi="David"/>
          <w:noProof w:val="0"/>
          <w:rtl/>
        </w:rPr>
        <w:t xml:space="preserve">ראה לעניין זה ע"א 4374/98 </w:t>
      </w:r>
      <w:r w:rsidRPr="00D6374C">
        <w:rPr>
          <w:rFonts w:ascii="David" w:eastAsia="Calibri" w:hAnsi="David"/>
          <w:b/>
          <w:bCs/>
          <w:noProof w:val="0"/>
          <w:rtl/>
        </w:rPr>
        <w:t xml:space="preserve">עצמון נ' </w:t>
      </w:r>
      <w:proofErr w:type="spellStart"/>
      <w:r w:rsidRPr="00D6374C">
        <w:rPr>
          <w:rFonts w:ascii="David" w:eastAsia="Calibri" w:hAnsi="David"/>
          <w:b/>
          <w:bCs/>
          <w:noProof w:val="0"/>
          <w:rtl/>
        </w:rPr>
        <w:t>רפ</w:t>
      </w:r>
      <w:proofErr w:type="spellEnd"/>
      <w:r w:rsidRPr="00D6374C">
        <w:rPr>
          <w:rFonts w:ascii="David" w:eastAsia="Calibri" w:hAnsi="David"/>
          <w:noProof w:val="0"/>
          <w:rtl/>
        </w:rPr>
        <w:t>, פ"ד נ"ז (3), 433 עמ' 453 (2002): "בענייננו המבקש להיבנות מחזקת השיתוף בחובות (ואף בנכסים) אינו אחד מבני הזוג, אלא הנאמן, שעושה זאת לטובת עניינם של הנושים. שאלה היא אפוא האם חזקת השיתוף בחובות היא ייחודית למערך היחסים הפנימי בין בני הזוג או שמא חלה היא (ואם כן – באילו נסיבות) גם במתחם החיצוני ומטילה על בן הזוג האחד אחריות ישירה לחובות בן זוגו כלפי צדדים שלישיים (והשאלה עשויה להתעורר לא רק בהקשר של פשיטת רגל). השאלה הועלתה בעבר בכתבי המלומדים (...) גם בית משפט זה התייחס, לא אחת לשאלה, ברם התשובה שניתנה לה אינה אחידה"</w:t>
      </w:r>
      <w:r w:rsidR="00D864B8">
        <w:rPr>
          <w:rFonts w:ascii="David" w:eastAsia="Calibri" w:hAnsi="David"/>
          <w:noProof w:val="0"/>
          <w:rtl/>
        </w:rPr>
        <w:t>. ובהמשך בעמ' 452-455 :" יוצא א</w:t>
      </w:r>
      <w:r w:rsidRPr="00D6374C">
        <w:rPr>
          <w:rFonts w:ascii="David" w:eastAsia="Calibri" w:hAnsi="David"/>
          <w:noProof w:val="0"/>
          <w:rtl/>
        </w:rPr>
        <w:t>פוא, כי ההידרשות לטיבו של החוב ומהותו היא שלב חיוני בהכרעה לגבי עצם תחולת השיתוף בחוב".</w:t>
      </w:r>
    </w:p>
    <w:p w:rsidR="00D6374C" w:rsidRPr="00D6374C" w:rsidRDefault="00D6374C" w:rsidP="00D6374C">
      <w:pPr>
        <w:numPr>
          <w:ilvl w:val="0"/>
          <w:numId w:val="1"/>
        </w:numPr>
        <w:spacing w:after="160" w:line="360" w:lineRule="auto"/>
        <w:contextualSpacing/>
        <w:jc w:val="both"/>
        <w:rPr>
          <w:rFonts w:ascii="David" w:eastAsia="Calibri" w:hAnsi="David"/>
          <w:noProof w:val="0"/>
          <w:rtl/>
        </w:rPr>
      </w:pPr>
      <w:r w:rsidRPr="00D6374C">
        <w:rPr>
          <w:rFonts w:ascii="David" w:eastAsia="Calibri" w:hAnsi="David"/>
          <w:noProof w:val="0"/>
          <w:rtl/>
        </w:rPr>
        <w:t>בענייננו, קל וחומר, שלא מדובר בחוב משותף, אלא בחוב אישי מובהק וחריג שנוצר בגין עבירות של פגיעות</w:t>
      </w:r>
      <w:r w:rsidR="00D864B8">
        <w:rPr>
          <w:rFonts w:ascii="David" w:eastAsia="Calibri" w:hAnsi="David"/>
          <w:noProof w:val="0"/>
          <w:rtl/>
        </w:rPr>
        <w:t xml:space="preserve"> מיניות. לדעתי, יהא זה מרחיק לכ</w:t>
      </w:r>
      <w:r w:rsidR="00D864B8">
        <w:rPr>
          <w:rFonts w:ascii="David" w:eastAsia="Calibri" w:hAnsi="David" w:hint="cs"/>
          <w:noProof w:val="0"/>
          <w:rtl/>
        </w:rPr>
        <w:t>ת</w:t>
      </w:r>
      <w:r w:rsidRPr="00D6374C">
        <w:rPr>
          <w:rFonts w:ascii="David" w:eastAsia="Calibri" w:hAnsi="David"/>
          <w:noProof w:val="0"/>
          <w:rtl/>
        </w:rPr>
        <w:t xml:space="preserve"> לטעון כי מאחר והנתבע</w:t>
      </w:r>
      <w:r w:rsidR="00D864B8">
        <w:rPr>
          <w:rFonts w:ascii="David" w:eastAsia="Calibri" w:hAnsi="David"/>
          <w:noProof w:val="0"/>
          <w:rtl/>
        </w:rPr>
        <w:t>ת נשארה נשואה לנתבע ואף עמדה לצ</w:t>
      </w:r>
      <w:r w:rsidRPr="00D6374C">
        <w:rPr>
          <w:rFonts w:ascii="David" w:eastAsia="Calibri" w:hAnsi="David"/>
          <w:noProof w:val="0"/>
          <w:rtl/>
        </w:rPr>
        <w:t>דו במהלכים המשפטיים, הרי שבכך בחרה (או שתיוחס לה כוונת שיתוף ספציפי) לשאת בעול החוב יחד עם בעלה, ועל כן עסקינן בחוב משותף. על שום כך, גם לא ניתן לייחס לבת הזוג בעצם עמידתה על זכויותיה, חשד שלפיו היא משתפת פעולה עם הנתבע כדי להבריח את הדירה מהנושים. בנוסף, קבלת הטענה לגביית חוב אישי חריג ממחצית דירת המגורים השייכת לבת הזוג, מסכלת את רצון הפסיקה להגן על חלקו של בן הזוג בדירה, שכן הוא לרוב בן הזוג הביתי החלש כלכלית.</w:t>
      </w:r>
    </w:p>
    <w:p w:rsidR="00D6374C" w:rsidRPr="00D6374C" w:rsidRDefault="00D6374C" w:rsidP="00D6374C">
      <w:pPr>
        <w:numPr>
          <w:ilvl w:val="0"/>
          <w:numId w:val="1"/>
        </w:numPr>
        <w:spacing w:after="160" w:line="360" w:lineRule="auto"/>
        <w:contextualSpacing/>
        <w:jc w:val="both"/>
        <w:rPr>
          <w:rFonts w:ascii="David" w:eastAsia="Calibri" w:hAnsi="David"/>
          <w:noProof w:val="0"/>
        </w:rPr>
      </w:pPr>
      <w:r w:rsidRPr="00D6374C">
        <w:rPr>
          <w:rFonts w:ascii="David" w:eastAsia="Calibri" w:hAnsi="David"/>
          <w:noProof w:val="0"/>
          <w:rtl/>
        </w:rPr>
        <w:t>העולה מהאמור, הוא כי הדירה תימכר כתפוסה על ידי הנתבעת לאחר פירוק בע</w:t>
      </w:r>
      <w:r w:rsidR="00D864B8">
        <w:rPr>
          <w:rFonts w:ascii="David" w:eastAsia="Calibri" w:hAnsi="David"/>
          <w:noProof w:val="0"/>
          <w:rtl/>
        </w:rPr>
        <w:t xml:space="preserve">לותם המשותפת של הנתבעים, כך </w:t>
      </w:r>
      <w:r w:rsidRPr="00D6374C">
        <w:rPr>
          <w:rFonts w:ascii="David" w:eastAsia="Calibri" w:hAnsi="David"/>
          <w:noProof w:val="0"/>
          <w:rtl/>
        </w:rPr>
        <w:t>שתהיה לדיירת מוגנת של הנושים בה.</w:t>
      </w:r>
    </w:p>
    <w:p w:rsidR="00D6374C" w:rsidRPr="00D6374C" w:rsidRDefault="00D6374C" w:rsidP="00D6374C">
      <w:pPr>
        <w:numPr>
          <w:ilvl w:val="0"/>
          <w:numId w:val="1"/>
        </w:numPr>
        <w:spacing w:after="160" w:line="360" w:lineRule="auto"/>
        <w:contextualSpacing/>
        <w:jc w:val="both"/>
        <w:rPr>
          <w:rFonts w:ascii="David" w:eastAsia="Calibri" w:hAnsi="David"/>
          <w:noProof w:val="0"/>
        </w:rPr>
      </w:pPr>
      <w:r w:rsidRPr="00D6374C">
        <w:rPr>
          <w:rFonts w:ascii="David" w:eastAsia="Calibri" w:hAnsi="David"/>
          <w:noProof w:val="0"/>
          <w:rtl/>
        </w:rPr>
        <w:t>מובהר</w:t>
      </w:r>
      <w:r w:rsidR="00D864B8">
        <w:rPr>
          <w:rFonts w:ascii="David" w:eastAsia="Calibri" w:hAnsi="David" w:hint="cs"/>
          <w:noProof w:val="0"/>
          <w:rtl/>
        </w:rPr>
        <w:t>,</w:t>
      </w:r>
      <w:r w:rsidRPr="00D6374C">
        <w:rPr>
          <w:rFonts w:ascii="David" w:eastAsia="Calibri" w:hAnsi="David"/>
          <w:noProof w:val="0"/>
          <w:rtl/>
        </w:rPr>
        <w:t xml:space="preserve"> כי זכות הדיירות המוגנ</w:t>
      </w:r>
      <w:r w:rsidR="00D864B8">
        <w:rPr>
          <w:rFonts w:ascii="David" w:eastAsia="Calibri" w:hAnsi="David"/>
          <w:noProof w:val="0"/>
          <w:rtl/>
        </w:rPr>
        <w:t xml:space="preserve">ת מוקנית רק לנתבעת, ולא לנתבע, </w:t>
      </w:r>
      <w:proofErr w:type="spellStart"/>
      <w:r w:rsidR="00D864B8">
        <w:rPr>
          <w:rFonts w:ascii="David" w:eastAsia="Calibri" w:hAnsi="David" w:hint="cs"/>
          <w:noProof w:val="0"/>
          <w:rtl/>
        </w:rPr>
        <w:t>ש</w:t>
      </w:r>
      <w:r w:rsidRPr="00D6374C">
        <w:rPr>
          <w:rFonts w:ascii="David" w:eastAsia="Calibri" w:hAnsi="David"/>
          <w:noProof w:val="0"/>
          <w:rtl/>
        </w:rPr>
        <w:t>בהיותו</w:t>
      </w:r>
      <w:proofErr w:type="spellEnd"/>
      <w:r w:rsidRPr="00D6374C">
        <w:rPr>
          <w:rFonts w:ascii="David" w:eastAsia="Calibri" w:hAnsi="David"/>
          <w:noProof w:val="0"/>
          <w:rtl/>
        </w:rPr>
        <w:t xml:space="preserve"> החייב העיקרי, אינו זכאי להגנת סעיף 33 לחוק הגנת הדייר (ראה לעניין זה תחולת סעיף 38 לחוק ההוצאה לפועל, לחייב ניתן דיור חלופי והקביעה הברורה בפס"ד כובשי כי עומדת </w:t>
      </w:r>
      <w:r w:rsidRPr="00D6374C">
        <w:rPr>
          <w:rFonts w:ascii="David" w:eastAsia="Calibri" w:hAnsi="David"/>
          <w:b/>
          <w:bCs/>
          <w:noProof w:val="0"/>
          <w:rtl/>
        </w:rPr>
        <w:t>לבן הזוג השותף בדירה</w:t>
      </w:r>
      <w:r w:rsidRPr="00D6374C">
        <w:rPr>
          <w:rFonts w:ascii="David" w:eastAsia="Calibri" w:hAnsi="David"/>
          <w:noProof w:val="0"/>
          <w:rtl/>
        </w:rPr>
        <w:t>, (ולא לחייב עצמו) הזכות לדיירות מוגנת לפי סעיף 33 לחוק הגנת הדייר). עוד יובהר</w:t>
      </w:r>
      <w:r w:rsidR="00D864B8">
        <w:rPr>
          <w:rFonts w:ascii="David" w:eastAsia="Calibri" w:hAnsi="David" w:hint="cs"/>
          <w:noProof w:val="0"/>
          <w:rtl/>
        </w:rPr>
        <w:t>,</w:t>
      </w:r>
      <w:r w:rsidRPr="00D6374C">
        <w:rPr>
          <w:rFonts w:ascii="David" w:eastAsia="Calibri" w:hAnsi="David"/>
          <w:noProof w:val="0"/>
          <w:rtl/>
        </w:rPr>
        <w:t xml:space="preserve"> כי לא הוצג מנח עובדתי לגבי בנו של הנתבע, והוא גם אינו צד להליך, ועל כן אין בפסק דין זה משום קביעה לעניין מעמדו כדייר מוגן בדירה.</w:t>
      </w:r>
    </w:p>
    <w:p w:rsidR="00D6374C" w:rsidRPr="00D6374C" w:rsidRDefault="00D6374C" w:rsidP="00D6374C">
      <w:pPr>
        <w:numPr>
          <w:ilvl w:val="0"/>
          <w:numId w:val="1"/>
        </w:numPr>
        <w:spacing w:after="160" w:line="360" w:lineRule="auto"/>
        <w:contextualSpacing/>
        <w:jc w:val="both"/>
        <w:rPr>
          <w:rFonts w:ascii="David" w:eastAsia="Calibri" w:hAnsi="David"/>
          <w:noProof w:val="0"/>
          <w:rtl/>
        </w:rPr>
      </w:pPr>
      <w:r w:rsidRPr="00D6374C">
        <w:rPr>
          <w:rFonts w:ascii="David" w:eastAsia="Calibri" w:hAnsi="David"/>
          <w:noProof w:val="0"/>
          <w:rtl/>
        </w:rPr>
        <w:t>פתרון זה אינו אופטימאלי ואין בו נחמה רבה לנושים, שני הנפגעים, שיותיר להם סכום זעום בלבד מתוך סכום הפיצוי</w:t>
      </w:r>
      <w:r w:rsidRPr="00D6374C">
        <w:rPr>
          <w:rFonts w:ascii="David" w:eastAsia="Calibri" w:hAnsi="David"/>
          <w:b/>
          <w:bCs/>
          <w:noProof w:val="0"/>
          <w:rtl/>
        </w:rPr>
        <w:t xml:space="preserve">, </w:t>
      </w:r>
      <w:r w:rsidRPr="00D6374C">
        <w:rPr>
          <w:rFonts w:ascii="David" w:eastAsia="Calibri" w:hAnsi="David"/>
          <w:noProof w:val="0"/>
          <w:rtl/>
        </w:rPr>
        <w:t>חרף העוולות שביצע כלפיהם הנתבע</w:t>
      </w:r>
      <w:r w:rsidRPr="00D6374C">
        <w:rPr>
          <w:rFonts w:ascii="David" w:eastAsia="Calibri" w:hAnsi="David"/>
          <w:b/>
          <w:bCs/>
          <w:noProof w:val="0"/>
          <w:rtl/>
        </w:rPr>
        <w:t xml:space="preserve">, </w:t>
      </w:r>
      <w:r w:rsidRPr="00D6374C">
        <w:rPr>
          <w:rFonts w:ascii="David" w:eastAsia="Calibri" w:hAnsi="David"/>
          <w:noProof w:val="0"/>
          <w:rtl/>
        </w:rPr>
        <w:t xml:space="preserve">ואולם, החלק האחר, גם הוא לא נמנע מהם כליל, והם או יורשיהם יזכו בו בעתיד בחלוף זכותה של המבקשת לדיירות מוגנת. </w:t>
      </w:r>
    </w:p>
    <w:p w:rsidR="00D6374C" w:rsidRPr="00D6374C" w:rsidRDefault="00D6374C" w:rsidP="00D6374C">
      <w:pPr>
        <w:spacing w:line="360" w:lineRule="auto"/>
        <w:ind w:left="1440"/>
        <w:contextualSpacing/>
        <w:jc w:val="both"/>
        <w:rPr>
          <w:rFonts w:ascii="David" w:eastAsia="Calibri" w:hAnsi="David"/>
          <w:noProof w:val="0"/>
        </w:rPr>
      </w:pPr>
      <w:r w:rsidRPr="00D6374C">
        <w:rPr>
          <w:rFonts w:ascii="David" w:eastAsia="Calibri" w:hAnsi="David"/>
          <w:noProof w:val="0"/>
          <w:rtl/>
        </w:rPr>
        <w:t xml:space="preserve">לעניין זה ראה ע"א 8233/08 </w:t>
      </w:r>
      <w:r w:rsidRPr="00D6374C">
        <w:rPr>
          <w:rFonts w:ascii="David" w:eastAsia="Calibri" w:hAnsi="David"/>
          <w:b/>
          <w:bCs/>
          <w:noProof w:val="0"/>
          <w:rtl/>
        </w:rPr>
        <w:t>מרגלית כובשי נ' עו"ד איל שוורץ</w:t>
      </w:r>
      <w:r w:rsidRPr="00D6374C">
        <w:rPr>
          <w:rFonts w:ascii="David" w:eastAsia="Calibri" w:hAnsi="David"/>
          <w:noProof w:val="0"/>
          <w:rtl/>
        </w:rPr>
        <w:t>, סד(2) 207 (2010):</w:t>
      </w:r>
    </w:p>
    <w:p w:rsidR="00D6374C" w:rsidRPr="00D6374C" w:rsidRDefault="00D6374C" w:rsidP="00D6374C">
      <w:pPr>
        <w:spacing w:line="360" w:lineRule="auto"/>
        <w:ind w:left="1440"/>
        <w:contextualSpacing/>
        <w:jc w:val="both"/>
        <w:rPr>
          <w:rFonts w:ascii="David" w:eastAsia="Calibri" w:hAnsi="David"/>
          <w:b/>
          <w:bCs/>
          <w:noProof w:val="0"/>
        </w:rPr>
      </w:pPr>
      <w:r w:rsidRPr="00D6374C">
        <w:rPr>
          <w:rFonts w:ascii="David" w:eastAsia="Calibri" w:hAnsi="David"/>
          <w:b/>
          <w:bCs/>
          <w:noProof w:val="0"/>
          <w:rtl/>
        </w:rPr>
        <w:t xml:space="preserve">"אשר על-כן, במצב הדברים הקיים, חרף הקושי הכרוך בהוראותיו של סעיף 33 לחוק הגנת הדייר, בהיקפו הנוכחי, בהיבטים מסוימים, אין הפרשן יכול ליצור "יש מאין" וליצוק לסעיף את אשר אין בו. פירוש זה, לא זו בלבד שהיה רחוק מרחק מזרח ממערב מכוונתו הסובייקטיבית של המחוקק, אלא שהוא גם יוצר דיסוננס פנימי במערך החוקים הנוגעים להגנת הדייר המביא אותו עד לכדי אבסורד. בנוסף, נדרשת בחינה מעמיקה ומקיפה של יתרונות וחסרונותיו של הסעיף במצבים השונים, ואין מקום לסייגו במצב שהמחוקק ראה שלא להתייחס אליו, רק בשל השאיפה הכללית בדבר צמצום היקפו. גם לפי פרשנותו "הרגילה" הלך סעיף 40א כברת דרך בצמצום פגיעתו של סעיף 33 לחוק הגנת הדייר. אפשר אמנם כי יש מקום ללכת כברת דרך נוספת, אך מלאכה זו ראוי כי תיעשה על-ידי המחוקק באופן שייצור קוהרנטיות והיגיון, שיעודד יציבות ושיגביר את אמון הציבור. </w:t>
      </w:r>
    </w:p>
    <w:p w:rsidR="00D6374C" w:rsidRPr="00D6374C" w:rsidRDefault="00D6374C" w:rsidP="00D6374C">
      <w:pPr>
        <w:spacing w:line="360" w:lineRule="auto"/>
        <w:ind w:left="1440"/>
        <w:contextualSpacing/>
        <w:jc w:val="both"/>
        <w:rPr>
          <w:rFonts w:ascii="David" w:eastAsia="Calibri" w:hAnsi="David"/>
          <w:b/>
          <w:bCs/>
          <w:noProof w:val="0"/>
          <w:rtl/>
        </w:rPr>
      </w:pPr>
      <w:r w:rsidRPr="00D6374C">
        <w:rPr>
          <w:rFonts w:ascii="David" w:eastAsia="Calibri" w:hAnsi="David"/>
          <w:b/>
          <w:bCs/>
          <w:noProof w:val="0"/>
          <w:rtl/>
        </w:rPr>
        <w:t>פרשנות זו, לא יהיה בה נחמה רבה לנושים, שכיתתו רגליהם לגביית חובם במשך שנים, נחלו אכזבה אחר אכזבה ויזכו גם עתה אך בחלק מן החוב. ואולם, חלק זה, גם בו אין להקל ראש; והחלק האחר, גם הוא לא נמנע מהם כליל, והם או יורשיהם יזכו בו בעתיד בחלוף זכותה של המבקשת לדיירות מוגנת. לא אומר כי פתרון זה הינו אופטימאלי וכי אין בנמצא טובים ממנו, אך הוא אשר יתירו לנו הכלים שבידינו, והוא המגשים את תכלית החקיקה הסופית בצורה המדויקת ביותר.</w:t>
      </w:r>
    </w:p>
    <w:p w:rsidR="00D6374C" w:rsidRPr="00D6374C" w:rsidRDefault="00D6374C" w:rsidP="00D6374C">
      <w:pPr>
        <w:spacing w:line="360" w:lineRule="auto"/>
        <w:ind w:left="1440"/>
        <w:contextualSpacing/>
        <w:jc w:val="both"/>
        <w:rPr>
          <w:rFonts w:ascii="David" w:eastAsia="Calibri" w:hAnsi="David"/>
          <w:b/>
          <w:bCs/>
          <w:noProof w:val="0"/>
          <w:rtl/>
        </w:rPr>
      </w:pPr>
      <w:r w:rsidRPr="00D6374C">
        <w:rPr>
          <w:rFonts w:ascii="David" w:eastAsia="Calibri" w:hAnsi="David"/>
          <w:b/>
          <w:bCs/>
          <w:noProof w:val="0"/>
          <w:rtl/>
        </w:rPr>
        <w:t>מן האמור בכלליות בדבר אי תחולתו של סעיף 40א לחוק המקרקעין על מקרה של פירוק שיתוף דירת מגורים של בני זוג על-ידי כונס נכסים לצורך פירעון חוב נובעת מסקנה פרטנית ישירה על המקרה שלפנינו: בית המגורים של המבקשת והחייב יימכר על-ידי המשיב כתפוס על ידי המבקשת לאחר פירוק בעלותם המשותפת בו. תמורת המכירה תועבר לנושים בניכוי חלקה של המבקשת בבעלות בו. המבקשת תהיה לדיירת מוגנת של הנושים בבית המגורים".</w:t>
      </w:r>
    </w:p>
    <w:p w:rsidR="00D6374C" w:rsidRPr="00D6374C" w:rsidRDefault="00D6374C" w:rsidP="00D6374C">
      <w:pPr>
        <w:numPr>
          <w:ilvl w:val="0"/>
          <w:numId w:val="1"/>
        </w:numPr>
        <w:spacing w:after="160" w:line="360" w:lineRule="auto"/>
        <w:contextualSpacing/>
        <w:jc w:val="both"/>
        <w:rPr>
          <w:rFonts w:ascii="David" w:eastAsia="Calibri" w:hAnsi="David"/>
          <w:noProof w:val="0"/>
        </w:rPr>
      </w:pPr>
      <w:r w:rsidRPr="00D6374C">
        <w:rPr>
          <w:rFonts w:ascii="David" w:eastAsia="Calibri" w:hAnsi="David"/>
          <w:noProof w:val="0"/>
          <w:rtl/>
        </w:rPr>
        <w:t xml:space="preserve">ויושם לב, בפסק דין כובשי, הנושים היו קשיי יום שחלקם איבדו בעצמם את דירות המגורים שלהם והתגוררו בדירות שכורות בשל התנהגות החייב. </w:t>
      </w:r>
    </w:p>
    <w:p w:rsidR="00D6374C" w:rsidRPr="00D6374C" w:rsidRDefault="00D6374C" w:rsidP="00D6374C">
      <w:pPr>
        <w:spacing w:line="360" w:lineRule="auto"/>
        <w:ind w:left="1440"/>
        <w:contextualSpacing/>
        <w:jc w:val="both"/>
        <w:rPr>
          <w:rFonts w:ascii="David" w:eastAsia="Calibri" w:hAnsi="David"/>
          <w:noProof w:val="0"/>
        </w:rPr>
      </w:pPr>
      <w:r w:rsidRPr="00D6374C">
        <w:rPr>
          <w:rFonts w:ascii="David" w:eastAsia="Calibri" w:hAnsi="David"/>
          <w:noProof w:val="0"/>
          <w:rtl/>
        </w:rPr>
        <w:t>אשת החייב נותרה לגור בדירה הזוגית ששוויה כפנויה על פי הערכת שמאי קרוב לחצי מיליון דולר וכתפוסה כ- 150,000 דולר. תוצאת פסק הדין הייתה קשה לנושים שקבלו כשישית ממחיר הדירה כפנויה.</w:t>
      </w:r>
    </w:p>
    <w:p w:rsidR="00D6374C" w:rsidRPr="00D6374C" w:rsidRDefault="00D6374C" w:rsidP="00D6374C">
      <w:pPr>
        <w:numPr>
          <w:ilvl w:val="0"/>
          <w:numId w:val="1"/>
        </w:numPr>
        <w:spacing w:after="160" w:line="360" w:lineRule="auto"/>
        <w:contextualSpacing/>
        <w:jc w:val="both"/>
        <w:rPr>
          <w:rFonts w:ascii="David" w:eastAsia="Calibri" w:hAnsi="David"/>
          <w:noProof w:val="0"/>
        </w:rPr>
      </w:pPr>
      <w:r w:rsidRPr="00D6374C">
        <w:rPr>
          <w:rFonts w:ascii="David" w:eastAsia="Calibri" w:hAnsi="David"/>
          <w:noProof w:val="0"/>
          <w:rtl/>
        </w:rPr>
        <w:t>נסיבות המקרה בעניינו קשות אף יותר, הואיל והנושים נפגעו לא רק כלכלית אלא גם נזיקית, וחרף האמור הם יכולים כיום להיפרע ממחצית דירה ששוויה הכלכלי נמוך (ראה גם הודאת התובעת בסיכומיה כי יתקבל סכום זעום ממכירתה כתפוסה, אך עדיין תניב להם סכום כלשהו לפיצוי הנפגעים).</w:t>
      </w:r>
    </w:p>
    <w:p w:rsidR="00D6374C" w:rsidRPr="00D6374C" w:rsidRDefault="00D6374C" w:rsidP="00D6374C">
      <w:pPr>
        <w:numPr>
          <w:ilvl w:val="0"/>
          <w:numId w:val="1"/>
        </w:numPr>
        <w:spacing w:after="160" w:line="360" w:lineRule="auto"/>
        <w:contextualSpacing/>
        <w:jc w:val="both"/>
        <w:rPr>
          <w:rFonts w:ascii="David" w:eastAsia="Calibri" w:hAnsi="David"/>
          <w:noProof w:val="0"/>
        </w:rPr>
      </w:pPr>
      <w:r w:rsidRPr="00D6374C">
        <w:rPr>
          <w:rFonts w:ascii="David" w:eastAsia="Calibri" w:hAnsi="David"/>
          <w:noProof w:val="0"/>
          <w:rtl/>
        </w:rPr>
        <w:t xml:space="preserve">בשולי הדברים אך לא בשולי חשיבותם, אני רואה לנכון לדחות את ההפניות להלכות </w:t>
      </w:r>
      <w:proofErr w:type="spellStart"/>
      <w:r w:rsidRPr="00D6374C">
        <w:rPr>
          <w:rFonts w:ascii="David" w:eastAsia="Calibri" w:hAnsi="David"/>
          <w:noProof w:val="0"/>
          <w:rtl/>
        </w:rPr>
        <w:t>פש"ר</w:t>
      </w:r>
      <w:proofErr w:type="spellEnd"/>
      <w:r w:rsidRPr="00D6374C">
        <w:rPr>
          <w:rFonts w:ascii="David" w:eastAsia="Calibri" w:hAnsi="David"/>
          <w:noProof w:val="0"/>
          <w:rtl/>
        </w:rPr>
        <w:t xml:space="preserve"> בסיכומיה של התובעת, ליישום צמצום הלכת "כובשי" וההגנה הקבועה בסעיף 33 לחוק הגנת הדייר, כדי לפעול לאיזון ראוי בין האינטרסים וזכויות בעלי הנכס לבין האינטרסים של הנושים, ולאורם </w:t>
      </w:r>
      <w:proofErr w:type="spellStart"/>
      <w:r w:rsidRPr="00D6374C">
        <w:rPr>
          <w:rFonts w:ascii="David" w:eastAsia="Calibri" w:hAnsi="David"/>
          <w:noProof w:val="0"/>
          <w:rtl/>
        </w:rPr>
        <w:t>להחריג</w:t>
      </w:r>
      <w:proofErr w:type="spellEnd"/>
      <w:r w:rsidRPr="00D6374C">
        <w:rPr>
          <w:rFonts w:ascii="David" w:eastAsia="Calibri" w:hAnsi="David"/>
          <w:noProof w:val="0"/>
          <w:rtl/>
        </w:rPr>
        <w:t xml:space="preserve"> את חובות הנתבע שנוצרו בחוסר תו"ל, ושהביאו גם לדחיית הליך </w:t>
      </w:r>
      <w:proofErr w:type="spellStart"/>
      <w:r w:rsidRPr="00D6374C">
        <w:rPr>
          <w:rFonts w:ascii="David" w:eastAsia="Calibri" w:hAnsi="David"/>
          <w:noProof w:val="0"/>
          <w:rtl/>
        </w:rPr>
        <w:t>חדל"פ</w:t>
      </w:r>
      <w:proofErr w:type="spellEnd"/>
      <w:r w:rsidRPr="00D6374C">
        <w:rPr>
          <w:rFonts w:ascii="David" w:eastAsia="Calibri" w:hAnsi="David"/>
          <w:noProof w:val="0"/>
          <w:rtl/>
        </w:rPr>
        <w:t xml:space="preserve"> שלו.</w:t>
      </w:r>
    </w:p>
    <w:p w:rsidR="00D6374C" w:rsidRPr="00D6374C" w:rsidRDefault="00D6374C" w:rsidP="00D6374C">
      <w:pPr>
        <w:numPr>
          <w:ilvl w:val="0"/>
          <w:numId w:val="1"/>
        </w:numPr>
        <w:spacing w:after="160" w:line="360" w:lineRule="auto"/>
        <w:contextualSpacing/>
        <w:jc w:val="both"/>
        <w:rPr>
          <w:rFonts w:ascii="David" w:eastAsia="Calibri" w:hAnsi="David"/>
          <w:noProof w:val="0"/>
        </w:rPr>
      </w:pPr>
      <w:r w:rsidRPr="00D6374C">
        <w:rPr>
          <w:rFonts w:ascii="David" w:eastAsia="Calibri" w:hAnsi="David"/>
          <w:noProof w:val="0"/>
          <w:rtl/>
        </w:rPr>
        <w:t xml:space="preserve"> </w:t>
      </w:r>
      <w:r w:rsidRPr="00D6374C">
        <w:rPr>
          <w:rFonts w:ascii="David" w:eastAsia="Calibri" w:hAnsi="David" w:hint="cs"/>
          <w:noProof w:val="0"/>
          <w:rtl/>
        </w:rPr>
        <w:t xml:space="preserve">יצוין כי בפרשות אלה, דובר בבקשות מימוש במסגרת תיק </w:t>
      </w:r>
      <w:proofErr w:type="spellStart"/>
      <w:r w:rsidRPr="00D6374C">
        <w:rPr>
          <w:rFonts w:ascii="David" w:eastAsia="Calibri" w:hAnsi="David" w:hint="cs"/>
          <w:noProof w:val="0"/>
          <w:rtl/>
        </w:rPr>
        <w:t>פש"ר</w:t>
      </w:r>
      <w:proofErr w:type="spellEnd"/>
      <w:r w:rsidRPr="00D6374C">
        <w:rPr>
          <w:rFonts w:ascii="David" w:eastAsia="Calibri" w:hAnsi="David" w:hint="cs"/>
          <w:noProof w:val="0"/>
          <w:rtl/>
        </w:rPr>
        <w:t xml:space="preserve"> בעוד בענייננו היוזמה לפירוק שיתוף היא של כונסת נכסים במסגרת תביעה אזרחית רגילה.</w:t>
      </w:r>
    </w:p>
    <w:p w:rsidR="00D6374C" w:rsidRPr="00D6374C" w:rsidRDefault="00D6374C" w:rsidP="00D6374C">
      <w:pPr>
        <w:spacing w:line="360" w:lineRule="auto"/>
        <w:ind w:left="1440"/>
        <w:contextualSpacing/>
        <w:jc w:val="both"/>
        <w:rPr>
          <w:rFonts w:ascii="David" w:eastAsia="Calibri" w:hAnsi="David"/>
          <w:noProof w:val="0"/>
        </w:rPr>
      </w:pPr>
      <w:r w:rsidRPr="00D6374C">
        <w:rPr>
          <w:rFonts w:ascii="David" w:eastAsia="Calibri" w:hAnsi="David"/>
          <w:noProof w:val="0"/>
          <w:rtl/>
        </w:rPr>
        <w:t xml:space="preserve">ההבדל נעוץ בכך, כי דיני הרכוש הזוגי קשורים ביחסים בין הזוג ולא בדאגה לנושים. בעוד דיני חדלות פירעון והוצאה לפועל הם דינים שתכליתם המקורית היא לדאוג לנושים, לכנס את נכסי החייב וזכויותיו ולחלקם בין </w:t>
      </w:r>
      <w:proofErr w:type="spellStart"/>
      <w:r w:rsidRPr="00D6374C">
        <w:rPr>
          <w:rFonts w:ascii="David" w:eastAsia="Calibri" w:hAnsi="David"/>
          <w:noProof w:val="0"/>
          <w:rtl/>
        </w:rPr>
        <w:t>נושיו</w:t>
      </w:r>
      <w:proofErr w:type="spellEnd"/>
      <w:r w:rsidRPr="00D6374C">
        <w:rPr>
          <w:rFonts w:ascii="David" w:eastAsia="Calibri" w:hAnsi="David"/>
          <w:noProof w:val="0"/>
          <w:rtl/>
        </w:rPr>
        <w:t>.</w:t>
      </w:r>
    </w:p>
    <w:p w:rsidR="00D6374C" w:rsidRPr="00D6374C" w:rsidRDefault="00D6374C" w:rsidP="00D6374C">
      <w:pPr>
        <w:spacing w:line="360" w:lineRule="auto"/>
        <w:ind w:left="1440"/>
        <w:contextualSpacing/>
        <w:jc w:val="both"/>
        <w:rPr>
          <w:rFonts w:ascii="David" w:eastAsia="Calibri" w:hAnsi="David"/>
          <w:noProof w:val="0"/>
          <w:rtl/>
        </w:rPr>
      </w:pPr>
      <w:r w:rsidRPr="00D6374C">
        <w:rPr>
          <w:rFonts w:ascii="David" w:eastAsia="Calibri" w:hAnsi="David"/>
          <w:noProof w:val="0"/>
          <w:rtl/>
        </w:rPr>
        <w:t xml:space="preserve"> על כן, בדיני </w:t>
      </w:r>
      <w:proofErr w:type="spellStart"/>
      <w:r w:rsidRPr="00D6374C">
        <w:rPr>
          <w:rFonts w:ascii="David" w:eastAsia="Calibri" w:hAnsi="David"/>
          <w:noProof w:val="0"/>
          <w:rtl/>
        </w:rPr>
        <w:t>חדל"פ</w:t>
      </w:r>
      <w:proofErr w:type="spellEnd"/>
      <w:r w:rsidRPr="00D6374C">
        <w:rPr>
          <w:rFonts w:ascii="David" w:eastAsia="Calibri" w:hAnsi="David"/>
          <w:noProof w:val="0"/>
          <w:rtl/>
        </w:rPr>
        <w:t xml:space="preserve"> נקבע איזון ראוי בין אינטרס הנושים לגבות את החוב אל מול הפגיעה בחייבים במקרה של גביית חוב מדירת המגורים (ראה סעיף 229 לחוק חדלות פירעון ושיקום כלכלי, תשע"ח-2018 שכותרתו "הגנה על בית המגורים").</w:t>
      </w:r>
    </w:p>
    <w:p w:rsidR="00D6374C" w:rsidRPr="00D6374C" w:rsidRDefault="00D6374C" w:rsidP="00D6374C">
      <w:pPr>
        <w:spacing w:line="360" w:lineRule="auto"/>
        <w:ind w:left="1440"/>
        <w:contextualSpacing/>
        <w:jc w:val="both"/>
        <w:rPr>
          <w:rFonts w:ascii="David" w:eastAsia="Calibri" w:hAnsi="David"/>
          <w:noProof w:val="0"/>
          <w:rtl/>
        </w:rPr>
      </w:pPr>
      <w:r w:rsidRPr="00D6374C">
        <w:rPr>
          <w:rFonts w:ascii="David" w:eastAsia="Calibri" w:hAnsi="David"/>
          <w:noProof w:val="0"/>
          <w:rtl/>
        </w:rPr>
        <w:t xml:space="preserve">בעוד חוק יחסי ממון מתיר עריכת איזון המשאבים רק בשלב שבו יחסי הצדדים באו אל קיצם, וזאת בניגוד לאינטרס הנושים שיהיה הליך של חלוקה </w:t>
      </w:r>
      <w:proofErr w:type="spellStart"/>
      <w:r w:rsidRPr="00D6374C">
        <w:rPr>
          <w:rFonts w:ascii="David" w:eastAsia="Calibri" w:hAnsi="David"/>
          <w:noProof w:val="0"/>
          <w:rtl/>
        </w:rPr>
        <w:t>מיידי</w:t>
      </w:r>
      <w:proofErr w:type="spellEnd"/>
      <w:r w:rsidRPr="00D6374C">
        <w:rPr>
          <w:rFonts w:ascii="David" w:eastAsia="Calibri" w:hAnsi="David"/>
          <w:noProof w:val="0"/>
          <w:rtl/>
        </w:rPr>
        <w:t xml:space="preserve">. </w:t>
      </w:r>
    </w:p>
    <w:p w:rsidR="00D6374C" w:rsidRPr="00D6374C" w:rsidRDefault="00D6374C" w:rsidP="00D6374C">
      <w:pPr>
        <w:spacing w:line="360" w:lineRule="auto"/>
        <w:ind w:left="1440"/>
        <w:contextualSpacing/>
        <w:jc w:val="both"/>
        <w:rPr>
          <w:rFonts w:ascii="David" w:eastAsia="Calibri" w:hAnsi="David"/>
          <w:noProof w:val="0"/>
          <w:rtl/>
        </w:rPr>
      </w:pPr>
      <w:r w:rsidRPr="00D6374C">
        <w:rPr>
          <w:rFonts w:ascii="David" w:eastAsia="Calibri" w:hAnsi="David"/>
          <w:noProof w:val="0"/>
          <w:rtl/>
        </w:rPr>
        <w:t>כך, בחוק יחסי ממון לא נקבע כי פשיטת רגל תיחשב לאירוע המקנה לשני בני הזוג, כמו גם לנאמן, את הזכות לדרוש איזון משאבים.</w:t>
      </w:r>
    </w:p>
    <w:p w:rsidR="00D6374C" w:rsidRPr="00D6374C" w:rsidRDefault="00D6374C" w:rsidP="00D6374C">
      <w:pPr>
        <w:spacing w:line="360" w:lineRule="auto"/>
        <w:ind w:left="1440"/>
        <w:contextualSpacing/>
        <w:jc w:val="both"/>
        <w:rPr>
          <w:rFonts w:ascii="David" w:eastAsia="Calibri" w:hAnsi="David"/>
          <w:noProof w:val="0"/>
          <w:rtl/>
        </w:rPr>
      </w:pPr>
      <w:r w:rsidRPr="00D6374C">
        <w:rPr>
          <w:rFonts w:ascii="David" w:eastAsia="Calibri" w:hAnsi="David"/>
          <w:noProof w:val="0"/>
          <w:rtl/>
        </w:rPr>
        <w:t xml:space="preserve">ועל כן, אין מקום ליישום הלכות </w:t>
      </w:r>
      <w:proofErr w:type="spellStart"/>
      <w:r w:rsidRPr="00D6374C">
        <w:rPr>
          <w:rFonts w:ascii="David" w:eastAsia="Calibri" w:hAnsi="David"/>
          <w:noProof w:val="0"/>
          <w:rtl/>
        </w:rPr>
        <w:t>פש"ר</w:t>
      </w:r>
      <w:proofErr w:type="spellEnd"/>
      <w:r w:rsidRPr="00D6374C">
        <w:rPr>
          <w:rFonts w:ascii="David" w:eastAsia="Calibri" w:hAnsi="David"/>
          <w:noProof w:val="0"/>
          <w:rtl/>
        </w:rPr>
        <w:t xml:space="preserve">, ופרט הלכת </w:t>
      </w:r>
      <w:proofErr w:type="spellStart"/>
      <w:r w:rsidRPr="00D6374C">
        <w:rPr>
          <w:rFonts w:ascii="David" w:eastAsia="Calibri" w:hAnsi="David"/>
          <w:noProof w:val="0"/>
          <w:rtl/>
        </w:rPr>
        <w:t>חליווה</w:t>
      </w:r>
      <w:proofErr w:type="spellEnd"/>
      <w:r w:rsidRPr="00D6374C">
        <w:rPr>
          <w:rFonts w:ascii="David" w:eastAsia="Calibri" w:hAnsi="David"/>
          <w:noProof w:val="0"/>
          <w:rtl/>
        </w:rPr>
        <w:t xml:space="preserve"> (</w:t>
      </w:r>
      <w:proofErr w:type="spellStart"/>
      <w:r w:rsidRPr="00D6374C">
        <w:rPr>
          <w:rFonts w:ascii="David" w:eastAsia="Calibri" w:hAnsi="David"/>
          <w:noProof w:val="0"/>
          <w:rtl/>
        </w:rPr>
        <w:t>פש"ר</w:t>
      </w:r>
      <w:proofErr w:type="spellEnd"/>
      <w:r w:rsidRPr="00D6374C">
        <w:rPr>
          <w:rFonts w:ascii="David" w:eastAsia="Calibri" w:hAnsi="David"/>
          <w:noProof w:val="0"/>
          <w:rtl/>
        </w:rPr>
        <w:t xml:space="preserve"> 2366-10-16) בה נקבע כי אין תחולה להגנת דייר (גם לא לגבי בת הזוג), והנכס יימכר כפנוי שעה שהחייב הוא שפונה מיוזמתו להליך </w:t>
      </w:r>
      <w:proofErr w:type="spellStart"/>
      <w:r w:rsidRPr="00D6374C">
        <w:rPr>
          <w:rFonts w:ascii="David" w:eastAsia="Calibri" w:hAnsi="David"/>
          <w:noProof w:val="0"/>
          <w:rtl/>
        </w:rPr>
        <w:t>חדל"פ</w:t>
      </w:r>
      <w:proofErr w:type="spellEnd"/>
      <w:r w:rsidRPr="00D6374C">
        <w:rPr>
          <w:rFonts w:ascii="David" w:eastAsia="Calibri" w:hAnsi="David"/>
          <w:noProof w:val="0"/>
          <w:rtl/>
        </w:rPr>
        <w:t>.</w:t>
      </w:r>
    </w:p>
    <w:p w:rsidR="00D6374C" w:rsidRPr="00D6374C" w:rsidRDefault="00D6374C" w:rsidP="00D6374C">
      <w:pPr>
        <w:numPr>
          <w:ilvl w:val="0"/>
          <w:numId w:val="1"/>
        </w:numPr>
        <w:spacing w:after="160" w:line="360" w:lineRule="auto"/>
        <w:contextualSpacing/>
        <w:jc w:val="both"/>
        <w:rPr>
          <w:rFonts w:ascii="David" w:eastAsia="Calibri" w:hAnsi="David"/>
          <w:noProof w:val="0"/>
          <w:rtl/>
        </w:rPr>
      </w:pPr>
      <w:r w:rsidRPr="00D6374C">
        <w:rPr>
          <w:rFonts w:ascii="David" w:eastAsia="Calibri" w:hAnsi="David"/>
          <w:noProof w:val="0"/>
          <w:rtl/>
        </w:rPr>
        <w:t>סיכומו של דבר, לאור האמור, אני נעתרת לתביעה, בחלקה, וניתן בזאת צו לפירוק השיתוף בדירה.</w:t>
      </w:r>
    </w:p>
    <w:p w:rsidR="00D6374C" w:rsidRPr="00D6374C" w:rsidRDefault="00D6374C" w:rsidP="00D6374C">
      <w:pPr>
        <w:numPr>
          <w:ilvl w:val="0"/>
          <w:numId w:val="1"/>
        </w:numPr>
        <w:spacing w:after="160" w:line="360" w:lineRule="auto"/>
        <w:contextualSpacing/>
        <w:jc w:val="both"/>
        <w:rPr>
          <w:rFonts w:ascii="David" w:eastAsia="Calibri" w:hAnsi="David"/>
          <w:noProof w:val="0"/>
        </w:rPr>
      </w:pPr>
      <w:r w:rsidRPr="00D6374C">
        <w:rPr>
          <w:rFonts w:ascii="David" w:eastAsia="Calibri" w:hAnsi="David"/>
          <w:noProof w:val="0"/>
          <w:rtl/>
        </w:rPr>
        <w:t xml:space="preserve">הדירה של הנתבעים תימכר על-ידי התובעת כתפוסה. </w:t>
      </w:r>
    </w:p>
    <w:p w:rsidR="00D6374C" w:rsidRPr="00D6374C" w:rsidRDefault="00D6374C" w:rsidP="00D6374C">
      <w:pPr>
        <w:numPr>
          <w:ilvl w:val="0"/>
          <w:numId w:val="1"/>
        </w:numPr>
        <w:spacing w:after="160" w:line="360" w:lineRule="auto"/>
        <w:contextualSpacing/>
        <w:jc w:val="both"/>
        <w:rPr>
          <w:rFonts w:ascii="David" w:eastAsia="Calibri" w:hAnsi="David"/>
          <w:noProof w:val="0"/>
        </w:rPr>
      </w:pPr>
      <w:r w:rsidRPr="00D6374C">
        <w:rPr>
          <w:rFonts w:ascii="David" w:eastAsia="Calibri" w:hAnsi="David"/>
          <w:noProof w:val="0"/>
          <w:rtl/>
        </w:rPr>
        <w:t>תמורת המכירה תועבר לנושים - הנפגעים, בניכוי חלקה של הנתבעת בבעלות בו. הנתבעת תהיה לדיירת מוגנת של הנושים בבית המגורים.</w:t>
      </w:r>
    </w:p>
    <w:p w:rsidR="00D6374C" w:rsidRPr="00D6374C" w:rsidRDefault="00D6374C" w:rsidP="00D6374C">
      <w:pPr>
        <w:numPr>
          <w:ilvl w:val="0"/>
          <w:numId w:val="1"/>
        </w:numPr>
        <w:spacing w:after="160" w:line="360" w:lineRule="auto"/>
        <w:contextualSpacing/>
        <w:jc w:val="both"/>
        <w:rPr>
          <w:rFonts w:ascii="David" w:eastAsia="Calibri" w:hAnsi="David"/>
          <w:noProof w:val="0"/>
        </w:rPr>
      </w:pPr>
      <w:r w:rsidRPr="00D6374C">
        <w:rPr>
          <w:rFonts w:ascii="David" w:eastAsia="Calibri" w:hAnsi="David"/>
          <w:noProof w:val="0"/>
          <w:rtl/>
        </w:rPr>
        <w:t>אלא שבכך לא תמה הכרעתי, הואיל ושני הצדדים סבורים כי אין מקום לביצוע פירוק שיתוף בדירה כיום.</w:t>
      </w:r>
    </w:p>
    <w:p w:rsidR="00D6374C" w:rsidRPr="00D6374C" w:rsidRDefault="00D6374C" w:rsidP="00D6374C">
      <w:pPr>
        <w:numPr>
          <w:ilvl w:val="0"/>
          <w:numId w:val="1"/>
        </w:numPr>
        <w:spacing w:after="160" w:line="360" w:lineRule="auto"/>
        <w:contextualSpacing/>
        <w:jc w:val="both"/>
        <w:rPr>
          <w:rFonts w:ascii="David" w:eastAsia="Calibri" w:hAnsi="David"/>
          <w:noProof w:val="0"/>
        </w:rPr>
      </w:pPr>
      <w:r w:rsidRPr="00D6374C">
        <w:rPr>
          <w:rFonts w:ascii="David" w:eastAsia="Calibri" w:hAnsi="David"/>
          <w:noProof w:val="0"/>
          <w:rtl/>
        </w:rPr>
        <w:t>לטענת הנתבעים, אין לבצע פירוק שיתוף כלל, כי בהינתן שהדירה תימכר כתפוסה, אין כדאיות כלכלית למכירתה, ודי במצב בו קיים עיקול על זכויות החייב בדירה.</w:t>
      </w:r>
    </w:p>
    <w:p w:rsidR="00D6374C" w:rsidRPr="00D6374C" w:rsidRDefault="00D6374C" w:rsidP="00D6374C">
      <w:pPr>
        <w:spacing w:after="160" w:line="360" w:lineRule="auto"/>
        <w:ind w:left="1440"/>
        <w:contextualSpacing/>
        <w:jc w:val="both"/>
        <w:rPr>
          <w:rFonts w:ascii="David" w:eastAsia="Calibri" w:hAnsi="David"/>
          <w:noProof w:val="0"/>
        </w:rPr>
      </w:pPr>
      <w:r w:rsidRPr="00D6374C">
        <w:rPr>
          <w:rFonts w:ascii="David" w:eastAsia="Calibri" w:hAnsi="David"/>
          <w:noProof w:val="0"/>
          <w:rtl/>
        </w:rPr>
        <w:t>לטענתם, הליך פירוק השיתוף רק יפגע קשות בנתבעים ובבנם ויגדיל את ההוצאות בתיק. על כן, הנתבע מציע לאמוד את זכויותיו, ולאפשר למי מהנתבעים לרכוש את הבית בשוויו כתפוס.</w:t>
      </w:r>
    </w:p>
    <w:p w:rsidR="00D6374C" w:rsidRPr="00D6374C" w:rsidRDefault="00D6374C" w:rsidP="00D864B8">
      <w:pPr>
        <w:numPr>
          <w:ilvl w:val="0"/>
          <w:numId w:val="1"/>
        </w:numPr>
        <w:spacing w:after="160" w:line="360" w:lineRule="auto"/>
        <w:contextualSpacing/>
        <w:jc w:val="both"/>
        <w:rPr>
          <w:rFonts w:ascii="David" w:eastAsia="Calibri" w:hAnsi="David"/>
          <w:noProof w:val="0"/>
        </w:rPr>
      </w:pPr>
      <w:r w:rsidRPr="00D6374C">
        <w:rPr>
          <w:rFonts w:ascii="David" w:eastAsia="Calibri" w:hAnsi="David"/>
          <w:noProof w:val="0"/>
          <w:rtl/>
        </w:rPr>
        <w:t xml:space="preserve">מנגד בקשת התובעת, להותיר לנפגעים את הזכות להחליט האם הם עומדים על פירוק השיתוף דירה כבר עתה לאור גיל הנתבעת והסכום הזעום יחסית שצפוי להתקבל ממכירת הדירה כתפוסה, או שלא לפעול למימוש חלקו של הנתבע דירה כתפוס, אלא להמתין עד לאחרית ימי הנתבעת שאז יוכלו לפעול למימוש הדירה בשוויה </w:t>
      </w:r>
      <w:proofErr w:type="spellStart"/>
      <w:r w:rsidRPr="00D6374C">
        <w:rPr>
          <w:rFonts w:ascii="David" w:eastAsia="Calibri" w:hAnsi="David"/>
          <w:noProof w:val="0"/>
          <w:rtl/>
        </w:rPr>
        <w:t>האמיתי</w:t>
      </w:r>
      <w:proofErr w:type="spellEnd"/>
      <w:r w:rsidRPr="00D6374C">
        <w:rPr>
          <w:rFonts w:ascii="David" w:eastAsia="Calibri" w:hAnsi="David"/>
          <w:noProof w:val="0"/>
          <w:rtl/>
        </w:rPr>
        <w:t xml:space="preserve"> ולא כתפוסה, דבר שיאפשר להם להגדיל את הסכום שהם יוכלו לגבות בעתיד מחלקו של הנתבע בדירה.</w:t>
      </w:r>
    </w:p>
    <w:p w:rsidR="00D6374C" w:rsidRPr="00D6374C" w:rsidRDefault="00D6374C" w:rsidP="00D6374C">
      <w:pPr>
        <w:numPr>
          <w:ilvl w:val="0"/>
          <w:numId w:val="1"/>
        </w:numPr>
        <w:spacing w:after="160" w:line="360" w:lineRule="auto"/>
        <w:contextualSpacing/>
        <w:jc w:val="both"/>
        <w:rPr>
          <w:rFonts w:ascii="David" w:eastAsia="Calibri" w:hAnsi="David"/>
          <w:noProof w:val="0"/>
        </w:rPr>
      </w:pPr>
      <w:r w:rsidRPr="00D6374C">
        <w:rPr>
          <w:rFonts w:ascii="David" w:eastAsia="Calibri" w:hAnsi="David"/>
          <w:noProof w:val="0"/>
          <w:rtl/>
        </w:rPr>
        <w:t>לאחר ששקלתי את עמדות הצדדים, סבורני</w:t>
      </w:r>
      <w:r w:rsidR="00D864B8">
        <w:rPr>
          <w:rFonts w:ascii="David" w:eastAsia="Calibri" w:hAnsi="David" w:hint="cs"/>
          <w:noProof w:val="0"/>
          <w:rtl/>
        </w:rPr>
        <w:t>,</w:t>
      </w:r>
      <w:r w:rsidRPr="00D6374C">
        <w:rPr>
          <w:rFonts w:ascii="David" w:eastAsia="Calibri" w:hAnsi="David"/>
          <w:noProof w:val="0"/>
          <w:rtl/>
        </w:rPr>
        <w:t xml:space="preserve"> כי נכון יהיה להורות כי </w:t>
      </w:r>
      <w:proofErr w:type="spellStart"/>
      <w:r w:rsidRPr="00D6374C">
        <w:rPr>
          <w:rFonts w:ascii="David" w:eastAsia="Calibri" w:hAnsi="David"/>
          <w:noProof w:val="0"/>
          <w:rtl/>
        </w:rPr>
        <w:t>הסעדים</w:t>
      </w:r>
      <w:proofErr w:type="spellEnd"/>
      <w:r w:rsidRPr="00D6374C">
        <w:rPr>
          <w:rFonts w:ascii="David" w:eastAsia="Calibri" w:hAnsi="David"/>
          <w:noProof w:val="0"/>
          <w:rtl/>
        </w:rPr>
        <w:t xml:space="preserve"> האופרטיביים שנפסקו (סעיפים 48-50) יהיו הצהרתיים בלבד.</w:t>
      </w:r>
    </w:p>
    <w:p w:rsidR="00D6374C" w:rsidRPr="00D6374C" w:rsidRDefault="00D6374C" w:rsidP="00D6374C">
      <w:pPr>
        <w:numPr>
          <w:ilvl w:val="0"/>
          <w:numId w:val="1"/>
        </w:numPr>
        <w:spacing w:after="160" w:line="360" w:lineRule="auto"/>
        <w:contextualSpacing/>
        <w:jc w:val="both"/>
        <w:rPr>
          <w:rFonts w:ascii="David" w:eastAsia="Calibri" w:hAnsi="David"/>
          <w:noProof w:val="0"/>
        </w:rPr>
      </w:pPr>
      <w:r w:rsidRPr="00D6374C">
        <w:rPr>
          <w:rFonts w:ascii="David" w:eastAsia="Calibri" w:hAnsi="David"/>
          <w:noProof w:val="0"/>
          <w:rtl/>
        </w:rPr>
        <w:t xml:space="preserve">מהלכת כובשי עולה כי נשמרה לנושים או ליורשיהם לזכות בחלק הנותר של החוב בעתיד בחלוף זכותה של המבקשת לדיירות מוגנת. </w:t>
      </w:r>
    </w:p>
    <w:p w:rsidR="00D6374C" w:rsidRPr="00D6374C" w:rsidRDefault="00D6374C" w:rsidP="00D6374C">
      <w:pPr>
        <w:spacing w:after="160" w:line="360" w:lineRule="auto"/>
        <w:ind w:left="1440"/>
        <w:contextualSpacing/>
        <w:jc w:val="both"/>
        <w:rPr>
          <w:rFonts w:ascii="David" w:eastAsia="Calibri" w:hAnsi="David"/>
          <w:noProof w:val="0"/>
        </w:rPr>
      </w:pPr>
      <w:r w:rsidRPr="00D6374C">
        <w:rPr>
          <w:rFonts w:ascii="David" w:eastAsia="Calibri" w:hAnsi="David"/>
          <w:noProof w:val="0"/>
          <w:rtl/>
        </w:rPr>
        <w:t>על בסיס האמור, ולאור זכותו של הנושה להיפרע מחובו מהחייב, אני מתירה לנפגעים לאור הכרעתי, את הזכות לפעול באחת משתי החלופות המבוקשות על ידם.</w:t>
      </w:r>
    </w:p>
    <w:p w:rsidR="00D6374C" w:rsidRPr="00D6374C" w:rsidRDefault="00D6374C" w:rsidP="00D6374C">
      <w:pPr>
        <w:numPr>
          <w:ilvl w:val="0"/>
          <w:numId w:val="1"/>
        </w:numPr>
        <w:spacing w:after="160" w:line="360" w:lineRule="auto"/>
        <w:contextualSpacing/>
        <w:jc w:val="both"/>
        <w:rPr>
          <w:rFonts w:ascii="David" w:eastAsia="Calibri" w:hAnsi="David"/>
          <w:noProof w:val="0"/>
        </w:rPr>
      </w:pPr>
      <w:r w:rsidRPr="00D6374C">
        <w:rPr>
          <w:rFonts w:ascii="David" w:eastAsia="Calibri" w:hAnsi="David"/>
          <w:noProof w:val="0"/>
          <w:rtl/>
        </w:rPr>
        <w:t>שקלתי את עניין פסיקת ההוצאות, ולא ראיתי לנכון להשית על מי מהצדדים, בשים לב לעובדה כי לא התקבלה עמדתו של אף צד במלואה.</w:t>
      </w:r>
    </w:p>
    <w:p w:rsidR="00D6374C" w:rsidRDefault="00D6374C" w:rsidP="00D6374C">
      <w:pPr>
        <w:numPr>
          <w:ilvl w:val="0"/>
          <w:numId w:val="1"/>
        </w:numPr>
        <w:spacing w:after="160" w:line="360" w:lineRule="auto"/>
        <w:contextualSpacing/>
        <w:jc w:val="both"/>
        <w:rPr>
          <w:rFonts w:ascii="David" w:eastAsia="Calibri" w:hAnsi="David"/>
          <w:noProof w:val="0"/>
        </w:rPr>
      </w:pPr>
      <w:r w:rsidRPr="00D6374C">
        <w:rPr>
          <w:rFonts w:ascii="David" w:eastAsia="Calibri" w:hAnsi="David"/>
          <w:noProof w:val="0"/>
          <w:rtl/>
        </w:rPr>
        <w:t>להמציא לצדדים ולסגור את התיק.</w:t>
      </w:r>
    </w:p>
    <w:p w:rsidR="00D6374C" w:rsidRPr="00D6374C" w:rsidRDefault="00D6374C" w:rsidP="00D6374C">
      <w:pPr>
        <w:numPr>
          <w:ilvl w:val="0"/>
          <w:numId w:val="1"/>
        </w:numPr>
        <w:spacing w:after="160" w:line="360" w:lineRule="auto"/>
        <w:contextualSpacing/>
        <w:jc w:val="both"/>
        <w:rPr>
          <w:rFonts w:ascii="David" w:eastAsia="Calibri" w:hAnsi="David"/>
          <w:noProof w:val="0"/>
        </w:rPr>
      </w:pPr>
      <w:r>
        <w:rPr>
          <w:rFonts w:ascii="David" w:eastAsia="Calibri" w:hAnsi="David" w:hint="cs"/>
          <w:noProof w:val="0"/>
          <w:rtl/>
        </w:rPr>
        <w:t>מותר לפרסום ללא פרטים מזהים.</w:t>
      </w:r>
    </w:p>
    <w:p w:rsidR="00D6374C" w:rsidRPr="00D6374C" w:rsidRDefault="00D6374C" w:rsidP="00D6374C">
      <w:pPr>
        <w:spacing w:after="160" w:line="360" w:lineRule="auto"/>
        <w:ind w:left="1440"/>
        <w:contextualSpacing/>
        <w:jc w:val="both"/>
        <w:rPr>
          <w:rFonts w:ascii="David" w:eastAsia="Calibri" w:hAnsi="David"/>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sidR="00A3365C">
            <w:rPr>
              <w:rtl/>
            </w:rPr>
            <w:t>י"ד ניסן תשפ"ד</w:t>
          </w:r>
        </w:sdtContent>
      </w:sdt>
      <w:r>
        <w:rPr>
          <w:rFonts w:ascii="Arial" w:hAnsi="Arial"/>
          <w:noProof w:val="0"/>
          <w:rtl/>
        </w:rPr>
        <w:t xml:space="preserve">, </w:t>
      </w:r>
      <w:sdt>
        <w:sdtPr>
          <w:rPr>
            <w:rtl/>
          </w:rPr>
          <w:alias w:val="1456"/>
          <w:tag w:val="1456"/>
          <w:id w:val="-1101635932"/>
          <w:text w:multiLine="1"/>
        </w:sdtPr>
        <w:sdtEndPr/>
        <w:sdtContent>
          <w:r w:rsidR="00A3365C">
            <w:rPr>
              <w:rtl/>
            </w:rPr>
            <w:t>22 אפריל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4B5CDB" w:rsidP="00633C4F">
      <w:pPr>
        <w:spacing w:line="360" w:lineRule="auto"/>
        <w:ind w:left="3600" w:firstLine="720"/>
      </w:pPr>
      <w:sdt>
        <w:sdtPr>
          <w:rPr>
            <w:rtl/>
          </w:rPr>
          <w:alias w:val="MergeField"/>
          <w:tag w:val="1237"/>
          <w:id w:val="-23406697"/>
        </w:sdtPr>
        <w:sdtEndPr/>
        <w:sdtContent>
          <w:r w:rsidR="00D864B8">
            <w:drawing>
              <wp:inline distT="0" distB="0" distL="0" distR="0" wp14:editId="50D07946">
                <wp:extent cx="1771650" cy="8477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771650" cy="847725"/>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10"/>
      <w:headerReference w:type="default" r:id="rId11"/>
      <w:footerReference w:type="even" r:id="rId12"/>
      <w:footerReference w:type="default" r:id="rId13"/>
      <w:headerReference w:type="first" r:id="rId14"/>
      <w:footerReference w:type="first" r:id="rId15"/>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5CDB" w:rsidRDefault="004B5CDB">
      <w:r>
        <w:separator/>
      </w:r>
    </w:p>
  </w:endnote>
  <w:endnote w:type="continuationSeparator" w:id="0">
    <w:p w:rsidR="004B5CDB" w:rsidRDefault="004B5C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365C" w:rsidRDefault="00A3365C">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786753">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786753">
      <w:rPr>
        <w:rStyle w:val="ab"/>
        <w:rtl/>
      </w:rPr>
      <w:t>10</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365C" w:rsidRDefault="00A3365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5CDB" w:rsidRDefault="004B5CDB">
      <w:r>
        <w:separator/>
      </w:r>
    </w:p>
  </w:footnote>
  <w:footnote w:type="continuationSeparator" w:id="0">
    <w:p w:rsidR="004B5CDB" w:rsidRDefault="004B5C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365C" w:rsidRDefault="00A3365C">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בנוף הגליל-נצרת</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4B5CDB" w:rsidP="00D864B8">
          <w:pPr>
            <w:rPr>
              <w:b/>
              <w:bCs/>
              <w:noProof w:val="0"/>
              <w:sz w:val="26"/>
              <w:szCs w:val="26"/>
              <w:rtl/>
            </w:rPr>
          </w:pPr>
          <w:sdt>
            <w:sdtPr>
              <w:rPr>
                <w:b/>
                <w:bCs/>
                <w:noProof w:val="0"/>
                <w:sz w:val="26"/>
                <w:szCs w:val="26"/>
                <w:rtl/>
              </w:rPr>
              <w:alias w:val="1170"/>
              <w:tag w:val="1170"/>
              <w:id w:val="299038016"/>
              <w:text w:multiLine="1"/>
            </w:sdtPr>
            <w:sdtEndPr/>
            <w:sdtContent>
              <w:proofErr w:type="spellStart"/>
              <w:r w:rsidR="00FB3C14">
                <w:rPr>
                  <w:b/>
                  <w:bCs/>
                  <w:noProof w:val="0"/>
                  <w:sz w:val="26"/>
                  <w:szCs w:val="26"/>
                  <w:rtl/>
                </w:rPr>
                <w:t>תמ"ש</w:t>
              </w:r>
              <w:proofErr w:type="spellEnd"/>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25638-08-22</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D864B8">
                <w:rPr>
                  <w:b/>
                  <w:bCs/>
                  <w:noProof w:val="0"/>
                  <w:sz w:val="26"/>
                  <w:szCs w:val="26"/>
                </w:rPr>
                <w:t xml:space="preserve"> </w:t>
              </w:r>
              <w:r w:rsidR="00D864B8">
                <w:rPr>
                  <w:rFonts w:hint="cs"/>
                  <w:b/>
                  <w:bCs/>
                  <w:noProof w:val="0"/>
                  <w:sz w:val="26"/>
                  <w:szCs w:val="26"/>
                </w:rPr>
                <w:t xml:space="preserve">XXX </w:t>
              </w:r>
              <w:r w:rsidR="00FB3C14">
                <w:rPr>
                  <w:b/>
                  <w:bCs/>
                  <w:noProof w:val="0"/>
                  <w:sz w:val="26"/>
                  <w:szCs w:val="26"/>
                  <w:rtl/>
                </w:rPr>
                <w:t xml:space="preserve">נ' </w:t>
              </w:r>
              <w:r w:rsidR="00D864B8">
                <w:rPr>
                  <w:rFonts w:hint="cs"/>
                  <w:b/>
                  <w:bCs/>
                  <w:noProof w:val="0"/>
                  <w:sz w:val="26"/>
                  <w:szCs w:val="26"/>
                </w:rPr>
                <w:t>XXX</w:t>
              </w:r>
              <w:r w:rsidR="00FB3C14">
                <w:rPr>
                  <w:b/>
                  <w:bCs/>
                  <w:noProof w:val="0"/>
                  <w:sz w:val="26"/>
                  <w:szCs w:val="26"/>
                  <w:rtl/>
                </w:rPr>
                <w:t xml:space="preserve"> ואח'</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365C" w:rsidRDefault="00A3365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D3C5897"/>
    <w:multiLevelType w:val="hybridMultilevel"/>
    <w:tmpl w:val="D9820166"/>
    <w:lvl w:ilvl="0" w:tplc="1A14BCE6">
      <w:start w:val="1"/>
      <w:numFmt w:val="decimal"/>
      <w:lvlText w:val="%1."/>
      <w:lvlJc w:val="left"/>
      <w:pPr>
        <w:ind w:left="1440" w:hanging="360"/>
      </w:pPr>
      <w:rPr>
        <w:rFonts w:cs="David"/>
        <w:b w:val="0"/>
        <w:bCs w:val="0"/>
        <w:color w:val="auto"/>
        <w:lang w:bidi="he-IL"/>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517525"/>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517525&amp;lt;/CaseID&amp;gt;_x000d__x000a_        &amp;lt;CaseMonth&amp;gt;8&amp;lt;/CaseMonth&amp;gt;_x000d__x000a_        &amp;lt;CaseYear&amp;gt;2022&amp;lt;/CaseYear&amp;gt;_x000d__x000a_        &amp;lt;CaseNumber&amp;gt;25638&amp;lt;/CaseNumber&amp;gt;_x000d__x000a_        &amp;lt;NumeratorGroupID&amp;gt;1&amp;lt;/NumeratorGroupID&amp;gt;_x000d__x000a_        &amp;lt;CaseName&amp;gt;דרשלר נ&amp;#39; דויטש ואח&amp;#39;&amp;lt;/CaseName&amp;gt;_x000d__x000a_        &amp;lt;CourtID&amp;gt;17&amp;lt;/CourtID&amp;gt;_x000d__x000a_        &amp;lt;CaseTypeID&amp;gt;15&amp;lt;/CaseTypeID&amp;gt;_x000d__x000a_        &amp;lt;CaseInterestID&amp;gt;10513&amp;lt;/CaseInterestID&amp;gt;_x000d__x000a_        &amp;lt;CaseJudgeName&amp;gt;רונית גורביץ&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5638-08-22&amp;lt;/CaseDisplayIdentifier&amp;gt;_x000d__x000a_        &amp;lt;CaseTypeDesc&amp;gt;תמ&amp;quot;ש&amp;lt;/CaseTypeDesc&amp;gt;_x000d__x000a_        &amp;lt;CourtDesc&amp;gt;שלום נוף הגליל-נצרת&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3-12-06T11:30:00+02:00&amp;lt;/CasePreviousSessionDate&amp;gt;_x000d__x000a_        &amp;lt;CaseNextDeterminingTask&amp;gt;257&amp;lt;/CaseNextDeterminingTask&amp;gt;_x000d__x000a_        &amp;lt;TemporaryAidStatus /&amp;gt;_x000d__x000a_        &amp;lt;CaseOpenDate&amp;gt;2022-08-11T07:00:00+03:00&amp;lt;/CaseOpenDate&amp;gt;_x000d__x000a_        &amp;lt;PleaTypeID&amp;gt;4&amp;lt;/PleaTypeID&amp;gt;_x000d__x000a_        &amp;lt;CourtLevelID&amp;gt;1&amp;lt;/CourtLevelID&amp;gt;_x000d__x000a_        &amp;lt;CourtLevelCaseTypeInterestID&amp;gt;1769&amp;lt;/CourtLevelCaseTypeInterestID&amp;gt;_x000d__x000a_        &amp;lt;CaseJudgeFirstName&amp;gt;רונית&amp;lt;/CaseJudgeFirstName&amp;gt;_x000d__x000a_        &amp;lt;CaseJudgeLastName&amp;gt;גורביץ&amp;lt;/CaseJudgeLastName&amp;gt;_x000d__x000a_        &amp;lt;JudicalPersonID&amp;gt;027771484@GOV.IL&amp;lt;/JudicalPersonID&amp;gt;_x000d__x000a_        &amp;lt;IsJudicalPanel&amp;gt;false&amp;lt;/IsJudicalPanel&amp;gt;_x000d__x000a_        &amp;lt;CourtDisplayName&amp;gt;בית משפט לענייני משפחה בנוף הגליל-נצרת&amp;lt;/CourtDisplayName&amp;gt;_x000d__x000a_        &amp;lt;IsAllStartDataCollected&amp;gt;true&amp;lt;/IsAllStartDataCollected&amp;gt;_x000d__x000a_        &amp;lt;IsMainCase&amp;gt;false&amp;lt;/IsMainCase&amp;gt;_x000d__x000a_        &amp;lt;CaseDesc&amp;gt;שוחחתי עם ערבה, מסרה כי מבדיקה אינו עצור ואיןצורך להזמינו דרך שב&amp;quot;ס והוא יוזמן על ידם לדיון שנקבע. &amp;lt;/CaseDesc&amp;gt;_x000d__x000a_        &amp;lt;isExistMinorSide&amp;gt;false&amp;lt;/isExistMinorSide&amp;gt;_x000d__x000a_        &amp;lt;isExistMinorWitness&amp;gt;false&amp;lt;/isExistMinorWitness&amp;gt;_x000d__x000a_        &amp;lt;CasePreviousSessionTypeID&amp;gt;1&amp;lt;/CasePreviousSessionTypeID&amp;gt;_x000d__x000a_        &amp;lt;CasePermitStatus&amp;gt;1&amp;lt;/CasePermitStatu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tru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517525&amp;lt;/CaseID&amp;gt;_x000d__x000a_        &amp;lt;CaseMonth&amp;gt;8&amp;lt;/CaseMonth&amp;gt;_x000d__x000a_        &amp;lt;CaseYear&amp;gt;2022&amp;lt;/CaseYear&amp;gt;_x000d__x000a_        &amp;lt;CaseNumber&amp;gt;25638&amp;lt;/CaseNumber&amp;gt;_x000d__x000a_        &amp;lt;NumeratorGroupID&amp;gt;1&amp;lt;/NumeratorGroupID&amp;gt;_x000d__x000a_        &amp;lt;CaseName&amp;gt;דרשלר נ&amp;#39; דויטש ואח&amp;#39;&amp;lt;/CaseName&amp;gt;_x000d__x000a_        &amp;lt;CourtID&amp;gt;17&amp;lt;/CourtID&amp;gt;_x000d__x000a_        &amp;lt;CaseTypeID&amp;gt;15&amp;lt;/CaseTypeID&amp;gt;_x000d__x000a_        &amp;lt;CaseInterestID&amp;gt;10513&amp;lt;/CaseInterestID&amp;gt;_x000d__x000a_        &amp;lt;CaseJudgeName&amp;gt;רונית גורביץ&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5638-08-22&amp;lt;/CaseDisplayIdentifier&amp;gt;_x000d__x000a_        &amp;lt;CaseTypeDesc&amp;gt;תמ&amp;quot;ש&amp;lt;/CaseTypeDesc&amp;gt;_x000d__x000a_        &amp;lt;CourtDesc&amp;gt;שלום נוף הגליל-נצרת&amp;lt;/CourtDesc&amp;gt;_x000d__x000a_        &amp;lt;CaseStageDesc&amp;gt;תיק אלקטרוני&amp;lt;/CaseStageDesc&amp;gt;_x000d__x000a_        &amp;lt;CaseNextDeterminingTask&amp;gt;257&amp;lt;/CaseNextDeterminingTask&amp;gt;_x000d__x000a_        &amp;lt;CaseOpenDate&amp;gt;2022-08-11T07:00:00+03:00&amp;lt;/CaseOpenDate&amp;gt;_x000d__x000a_        &amp;lt;PleaTypeID&amp;gt;4&amp;lt;/PleaTypeID&amp;gt;_x000d__x000a_        &amp;lt;CourtLevelID&amp;gt;1&amp;lt;/CourtLevelID&amp;gt;_x000d__x000a_        &amp;lt;CourtLevelCaseTypeInterestID&amp;gt;1769&amp;lt;/CourtLevelCaseTypeInterestID&amp;gt;_x000d__x000a_        &amp;lt;CaseJudgeFirstName&amp;gt;רונית&amp;lt;/CaseJudgeFirstName&amp;gt;_x000d__x000a_        &amp;lt;CaseJudgeLastName&amp;gt;גורביץ&amp;lt;/CaseJudgeLastName&amp;gt;_x000d__x000a_        &amp;lt;JudicalPersonID&amp;gt;027771484@GOV.IL&amp;lt;/JudicalPersonID&amp;gt;_x000d__x000a_        &amp;lt;IsJudicalPanel&amp;gt;false&amp;lt;/IsJudicalPanel&amp;gt;_x000d__x000a_        &amp;lt;CourtDisplayName&amp;gt;בית משפט לענייני משפחה בנוף הגליל-נצרת&amp;lt;/CourtDisplayName&amp;gt;_x000d__x000a_        &amp;lt;IsAllStartDataCollected&amp;gt;true&amp;lt;/IsAllStartDataCollected&amp;gt;_x000d__x000a_        &amp;lt;IsMainCase&amp;gt;false&amp;lt;/IsMainCase&amp;gt;_x000d__x000a_        &amp;lt;CaseDesc&amp;gt;שוחחתי עם ערבה, מסרה כי מבדיקה אינו עצור ואיןצורך להזמינו דרך שב&amp;quot;ס והוא יוזמן על ידם לדיון שנקבע.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7"/>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04-22T17:04:07.8689303+03:00&amp;lt;/DecisionStatusChangeDate&amp;gt;_x000d__x000a_        &amp;lt;DecisionSignatureDate&amp;gt;2024-04-22T17:04:07.8689303+03:00&amp;lt;/DecisionSignatureDate&amp;gt;_x000d__x000a_        &amp;lt;DecisionSignatureUserID&amp;gt;027771484@GOV.IL&amp;lt;/DecisionSignatureUserID&amp;gt;_x000d__x000a_        &amp;lt;DecisionCreateDate&amp;gt;2024-04-22T17:04:07.8689303+03:00&amp;lt;/DecisionCreateDate&amp;gt;_x000d__x000a_        &amp;lt;DecisionChangeDate&amp;gt;2024-04-22T17:04:07.8689303+03:00&amp;lt;/DecisionChangeDate&amp;gt;_x000d__x000a_        &amp;lt;DecisionChangeUserID&amp;gt;027771484@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7771484@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7771484@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0&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79517525&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0513"/>
    <w:docVar w:name="NGCS.TemplateCaseTypeID" w:val="15"/>
    <w:docVar w:name="NGCS.TemplateCategoryID" w:val="80"/>
    <w:docVar w:name="NGCS.TemplateCourtID" w:val="17"/>
    <w:docVar w:name="NGCS.TemplateProceedingID" w:val="3"/>
    <w:docVar w:name="SelectedDocumentID" w:val="433705697"/>
    <w:docVar w:name="WordClientAssemblyName" w:val="NGCS.Decision.ClientWordBL"/>
    <w:docVar w:name="WordClientClassName" w:val="NGCS.Decision.ClientWordBL.DecisionClient"/>
  </w:docVars>
  <w:rsids>
    <w:rsidRoot w:val="00694556"/>
    <w:rsid w:val="00005C8B"/>
    <w:rsid w:val="000146C2"/>
    <w:rsid w:val="00016C35"/>
    <w:rsid w:val="000258FD"/>
    <w:rsid w:val="000564AB"/>
    <w:rsid w:val="000D4A02"/>
    <w:rsid w:val="001072A9"/>
    <w:rsid w:val="00121F97"/>
    <w:rsid w:val="001277D7"/>
    <w:rsid w:val="00132017"/>
    <w:rsid w:val="0014234E"/>
    <w:rsid w:val="00145A87"/>
    <w:rsid w:val="001C4003"/>
    <w:rsid w:val="001F5474"/>
    <w:rsid w:val="002352F7"/>
    <w:rsid w:val="0027277D"/>
    <w:rsid w:val="00381D3A"/>
    <w:rsid w:val="003823DA"/>
    <w:rsid w:val="0043595F"/>
    <w:rsid w:val="0047645A"/>
    <w:rsid w:val="004B5CDB"/>
    <w:rsid w:val="004D49A3"/>
    <w:rsid w:val="004D50AC"/>
    <w:rsid w:val="004E6E3C"/>
    <w:rsid w:val="005124F1"/>
    <w:rsid w:val="00513A06"/>
    <w:rsid w:val="00530BAD"/>
    <w:rsid w:val="00541598"/>
    <w:rsid w:val="00547DB7"/>
    <w:rsid w:val="00567324"/>
    <w:rsid w:val="005B0F49"/>
    <w:rsid w:val="005C7EC6"/>
    <w:rsid w:val="005D4BDB"/>
    <w:rsid w:val="00622BAA"/>
    <w:rsid w:val="00625C89"/>
    <w:rsid w:val="00633C4F"/>
    <w:rsid w:val="00671BD5"/>
    <w:rsid w:val="006805C1"/>
    <w:rsid w:val="006816EC"/>
    <w:rsid w:val="00694556"/>
    <w:rsid w:val="006E1A53"/>
    <w:rsid w:val="007056AA"/>
    <w:rsid w:val="00744F41"/>
    <w:rsid w:val="00786753"/>
    <w:rsid w:val="007A24FE"/>
    <w:rsid w:val="007A35AA"/>
    <w:rsid w:val="007F1048"/>
    <w:rsid w:val="00820005"/>
    <w:rsid w:val="00846D27"/>
    <w:rsid w:val="008610A7"/>
    <w:rsid w:val="008E1332"/>
    <w:rsid w:val="00903896"/>
    <w:rsid w:val="00927813"/>
    <w:rsid w:val="00944D13"/>
    <w:rsid w:val="00957C90"/>
    <w:rsid w:val="009B70F6"/>
    <w:rsid w:val="009C358E"/>
    <w:rsid w:val="009E0263"/>
    <w:rsid w:val="00A267CF"/>
    <w:rsid w:val="00A3365C"/>
    <w:rsid w:val="00A342BD"/>
    <w:rsid w:val="00A43458"/>
    <w:rsid w:val="00AC4E19"/>
    <w:rsid w:val="00AF1ED6"/>
    <w:rsid w:val="00B32C61"/>
    <w:rsid w:val="00B368FE"/>
    <w:rsid w:val="00B80CBD"/>
    <w:rsid w:val="00BC3369"/>
    <w:rsid w:val="00BF77EE"/>
    <w:rsid w:val="00C32E0F"/>
    <w:rsid w:val="00C42BF9"/>
    <w:rsid w:val="00C80195"/>
    <w:rsid w:val="00C83E56"/>
    <w:rsid w:val="00CC63CE"/>
    <w:rsid w:val="00D319B3"/>
    <w:rsid w:val="00D36A71"/>
    <w:rsid w:val="00D53924"/>
    <w:rsid w:val="00D60849"/>
    <w:rsid w:val="00D6374C"/>
    <w:rsid w:val="00D864B8"/>
    <w:rsid w:val="00D96D8C"/>
    <w:rsid w:val="00DA755B"/>
    <w:rsid w:val="00DD337E"/>
    <w:rsid w:val="00E00B6F"/>
    <w:rsid w:val="00E44DDF"/>
    <w:rsid w:val="00E54642"/>
    <w:rsid w:val="00E97908"/>
    <w:rsid w:val="00EF3ED0"/>
    <w:rsid w:val="00F17E56"/>
    <w:rsid w:val="00FB3C1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table" w:customStyle="1" w:styleId="10">
    <w:name w:val="רשת טבלה1"/>
    <w:basedOn w:val="a1"/>
    <w:next w:val="a9"/>
    <w:rsid w:val="00D6374C"/>
    <w:pPr>
      <w:jc w:val="righ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2102694">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
      <w:docPartPr>
        <w:name w:val="D650C3ADC6E34C929EE3D2B6C6EAD8DA"/>
        <w:category>
          <w:name w:val="כללי"/>
          <w:gallery w:val="placeholder"/>
        </w:category>
        <w:types>
          <w:type w:val="bbPlcHdr"/>
        </w:types>
        <w:behaviors>
          <w:behavior w:val="content"/>
        </w:behaviors>
        <w:guid w:val="{7ABC5887-1B48-41EE-B2B7-5639D8CEB5F1}"/>
      </w:docPartPr>
      <w:docPartBody>
        <w:p w:rsidR="00EA7F31" w:rsidRDefault="00833049" w:rsidP="00833049">
          <w:pPr>
            <w:pStyle w:val="D650C3ADC6E34C929EE3D2B6C6EAD8DA2"/>
          </w:pPr>
          <w:r w:rsidRPr="009C358E">
            <w:rPr>
              <w:rFonts w:hint="eastAsia"/>
              <w:b/>
              <w:bCs/>
              <w:noProof w:val="0"/>
              <w:sz w:val="28"/>
              <w:rtl/>
            </w:rPr>
            <w:t>סוג</w:t>
          </w:r>
          <w:r w:rsidRPr="009C358E">
            <w:rPr>
              <w:b/>
              <w:bCs/>
              <w:noProof w:val="0"/>
              <w:sz w:val="28"/>
              <w:rtl/>
            </w:rPr>
            <w:t xml:space="preserve"> זיהוי צד א'</w:t>
          </w:r>
        </w:p>
      </w:docPartBody>
    </w:docPart>
    <w:docPart>
      <w:docPartPr>
        <w:name w:val="188595C706B84060A65FC27D8AEC282C"/>
        <w:category>
          <w:name w:val="כללי"/>
          <w:gallery w:val="placeholder"/>
        </w:category>
        <w:types>
          <w:type w:val="bbPlcHdr"/>
        </w:types>
        <w:behaviors>
          <w:behavior w:val="content"/>
        </w:behaviors>
        <w:guid w:val="{1E827306-F7DE-46A2-8131-2A90EFCDB506}"/>
      </w:docPartPr>
      <w:docPartBody>
        <w:p w:rsidR="00EA7F31" w:rsidRDefault="00833049" w:rsidP="00833049">
          <w:pPr>
            <w:pStyle w:val="188595C706B84060A65FC27D8AEC282C2"/>
          </w:pPr>
          <w:r w:rsidRPr="009C358E">
            <w:rPr>
              <w:rFonts w:hint="eastAsia"/>
              <w:b/>
              <w:bCs/>
              <w:noProof w:val="0"/>
              <w:sz w:val="28"/>
              <w:rtl/>
            </w:rPr>
            <w:t>סוג</w:t>
          </w:r>
          <w:r w:rsidRPr="009C358E">
            <w:rPr>
              <w:b/>
              <w:bCs/>
              <w:noProof w:val="0"/>
              <w:sz w:val="28"/>
              <w:rtl/>
            </w:rPr>
            <w:t xml:space="preserve">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833049"/>
    <w:rsid w:val="00B40AEB"/>
    <w:rsid w:val="00B65812"/>
    <w:rsid w:val="00CC5512"/>
    <w:rsid w:val="00EA7F31"/>
    <w:rsid w:val="00FB0552"/>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79517525</CaseID>
    <CaseJudicialPersonPresentationDS>
      <CaseJudicalPersonActive>
        <CaseID>79517525</CaseID>
        <JudicialPersonID>027771484@GOV.IL</JudicialPersonID>
        <JudicialPersonTypeID>1</JudicialPersonTypeID>
        <JudicialTypeID>1</JudicialTypeID>
        <IsChairman>false</IsChairman>
        <TreatmentStartDate>2022-08-18T15:58:31.493+03:00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יצחק מירון</FullName>
        <FirstName>יצחק</FirstName>
        <LastName>מירון</LastName>
        <PartyPropertyName/>
        <AuthenticationTypeAndNumber>מ.ר. 11238</AuthenticationTypeAndNumber>
        <RepresentatedOrRepresentativesNames>טובה דויטש, יעקב דויטש</RepresentatedOrRepresentativesNames>
        <RepresentatedOrRepresentativesCount>2</RepresentatedOrRepresentativesCount>
        <InvitedBy/>
        <CaseID>79517525</CaseID>
        <CaseJudicialPersonPresentationDS>
          <CaseJudicalPersonActive>
            <CaseID>79517525</CaseID>
            <JudicialPersonID>027771484@GOV.IL</JudicialPersonID>
            <JudicialPersonTypeID>1</JudicialPersonTypeID>
            <JudicialTypeID>1</JudicialTypeID>
            <IsChairman>false</IsChairman>
            <TreatmentStartDate>2022-08-18T15:58:31.493+03:00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257266411</CasePartyID>
        <PartyTypeID>2</PartyTypeID>
        <ActivityStatusID>1</ActivityStatusID>
        <PartyAliasID>21</PartyAliasID>
        <PartyAliasName>בא כוח נתבעים</PartyAliasName>
        <LegalEntityID>386987</LegalEntityID>
        <CaseLegalEntityID>124841562</CaseLegalEntityID>
        <AuthenticationTypeID>4</AuthenticationTypeID>
        <AuthenticationTypeName>מ.ר.</AuthenticationTypeName>
        <LegalEntityNumber>11238</LegalEntityNumber>
        <IsMainPartyType>true</IsMainPartyType>
        <CaseDisplayIdentifier>25638-08-22</CaseDisplayIdentifier>
        <CaseTypeID>15</CaseTypeID>
        <CaseTypeName>תיק משפחה (תמ"ש)</CaseTypeName>
        <CaseName>דרשלר נ' דויטש ואח'</CaseName>
        <FullAddress>שד' ארלוזורוב 18 עפולה </FullAddress>
        <EmailAddress>mirone.law@gmail.com</EmailAddress>
        <MotionID>0</MotionID>
        <CasePleaID>0</CasePleaID>
        <FatherName xml:space="preserve">        </FatherName>
        <LinkedCaseID>0</LinkedCaseID>
        <PartyID>2</PartyID>
        <CasePartyCategoryID>2</CasePartyCategoryID>
        <LegalEntityAddressID>429969</LegalEntityAddressID>
        <LegalEntityEmailAddressID>68075721</LegalEntityEmailAddressID>
        <PleaTypeID>4</PleaTypeID>
        <LawyerOfficeName>משרד עו"ד י. מירון ושות'</LawyerOfficeName>
        <LawyerOfficeID>427631</LawyerOfficeID>
        <GroupPartyAlias/>
        <IsConverted>false</IsConverted>
        <LegalEntityNameID>7971</LegalEntityNameID>
        <RepresentatedNamesOfAssistant/>
        <LegalEntityTypeID>4</LegalEntityTypeID>
        <IsVerdictExists>false</IsVerdictExists>
        <IsAsirAzir>false</IsAsirAzir>
        <IsPublicationProhibited>false</IsPublicationProhibited>
        <PublicationProhibitedFullName>יצחק מירון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רונית דרשלר</FullName>
        <FirstName>רונית</FirstName>
        <LastName>דרשלר</LastName>
        <PartyPropertyName/>
        <AuthenticationTypeAndNumber>ת"ז 066435934</AuthenticationTypeAndNumber>
        <RepresentatedOrRepresentativesNames>רונית דרשלר</RepresentatedOrRepresentativesNames>
        <RepresentatedOrRepresentativesCount>1</RepresentatedOrRepresentativesCount>
        <InvitedBy/>
        <CaseID>79517525</CaseID>
        <CaseJudicialPersonPresentationDS>
          <CaseJudicalPersonActive>
            <CaseID>79517525</CaseID>
            <JudicialPersonID>027771484@GOV.IL</JudicialPersonID>
            <JudicialPersonTypeID>1</JudicialPersonTypeID>
            <JudicialTypeID>1</JudicialTypeID>
            <IsChairman>false</IsChairman>
            <TreatmentStartDate>2022-08-18T15:58:31.493+03:00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244624360</CasePartyID>
        <PartyTypeID>1</PartyTypeID>
        <ActivityStatusID>1</ActivityStatusID>
        <PartyAliasID>1</PartyAliasID>
        <PartyAliasName>תובע</PartyAliasName>
        <OrdinalNumber>1</OrdinalNumber>
        <LegalEntityID>2111920</LegalEntityID>
        <CaseLegalEntityID>120888375</CaseLegalEntityID>
        <AuthenticationTypeID>1</AuthenticationTypeID>
        <AuthenticationTypeName>ת"ז</AuthenticationTypeName>
        <LegalEntityNumber>066435934</LegalEntityNumber>
        <IsMainPartyType>true</IsMainPartyType>
        <CaseDisplayIdentifier>25638-08-22</CaseDisplayIdentifier>
        <CaseTypeID>15</CaseTypeID>
        <CaseTypeName>תיק משפחה (תמ"ש)</CaseTypeName>
        <CaseName>דרשלר נ' דויטש ואח'</CaseName>
        <FullAddress/>
        <MotionID>0</MotionID>
        <CasePleaID>0</CasePleaID>
        <FatherName>מרדכי</FatherName>
        <LinkedCaseID>0</LinkedCaseID>
        <PartyID>1</PartyID>
        <CasePartyCategoryID>2</CasePartyCategoryID>
        <PleaTypeID>4</PleaTypeID>
        <GroupPartyAlias>תובעים</GroupPartyAlias>
        <IsConverted>false</IsConverted>
        <LegalEntityRegisteredNameID>9070599</LegalEntityRegisteredNameID>
        <LegalEntityNameID>93539098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רונית דרשלר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רונית דרשלר</FullName>
        <FirstName>רונית</FirstName>
        <LastName>דרשלר</LastName>
        <PartyPropertyName/>
        <AuthenticationTypeAndNumber>מ.ר. 60148</AuthenticationTypeAndNumber>
        <RepresentatedOrRepresentativesNames>רונית דרשלר</RepresentatedOrRepresentativesNames>
        <RepresentatedOrRepresentativesCount>1</RepresentatedOrRepresentativesCount>
        <InvitedBy/>
        <CaseID>79517525</CaseID>
        <CaseJudicialPersonPresentationDS>
          <CaseJudicalPersonActive>
            <CaseID>79517525</CaseID>
            <JudicialPersonID>027771484@GOV.IL</JudicialPersonID>
            <JudicialPersonTypeID>1</JudicialPersonTypeID>
            <JudicialTypeID>1</JudicialTypeID>
            <IsChairman>false</IsChairman>
            <TreatmentStartDate>2022-08-18T15:58:31.493+03:00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244624361</CasePartyID>
        <PartyTypeID>2</PartyTypeID>
        <ActivityStatusID>1</ActivityStatusID>
        <PartyAliasID>20</PartyAliasID>
        <PartyAliasName>בא כוח תובעים</PartyAliasName>
        <OrdinalNumber>1</OrdinalNumber>
        <LegalEntityID>73747457</LegalEntityID>
        <CaseLegalEntityID>120888376</CaseLegalEntityID>
        <AuthenticationTypeID>4</AuthenticationTypeID>
        <AuthenticationTypeName>מ.ר.</AuthenticationTypeName>
        <LegalEntityNumber>60148</LegalEntityNumber>
        <IsMainPartyType>true</IsMainPartyType>
        <CaseDisplayIdentifier>25638-08-22</CaseDisplayIdentifier>
        <CaseTypeID>15</CaseTypeID>
        <CaseTypeName>תיק משפחה (תמ"ש)</CaseTypeName>
        <CaseName>דרשלר נ' דויטש ואח'</CaseName>
        <FullAddress>הנדיב 71 הרצלייה </FullAddress>
        <EmailAddress>office@drch-law.com</EmailAddress>
        <MotionID>0</MotionID>
        <CasePleaID>0</CasePleaID>
        <LinkedCaseID>0</LinkedCaseID>
        <PartyID>1</PartyID>
        <CasePartyCategoryID>2</CasePartyCategoryID>
        <LegalEntityAddressID>83798391</LegalEntityAddressID>
        <LegalEntityEmailAddressID>68207292</LegalEntityEmailAddressID>
        <PleaTypeID>4</PleaTypeID>
        <LawyerOfficeName>משרד עו"ד רונית דרשלר</LawyerOfficeName>
        <LawyerOfficeID>73747458</LawyerOfficeID>
        <GroupPartyAlias/>
        <IsConverted>false</IsConverted>
        <LegalEntityNameID>78814423</LegalEntityNameID>
        <RepresentatedNamesOfAssistant/>
        <LegalEntityTypeID>4</LegalEntityTypeID>
        <IsVerdictExists>false</IsVerdictExists>
        <IsAsirAzir>false</IsAsirAzir>
        <IsPublicationProhibited>false</IsPublicationProhibited>
        <PublicationProhibitedFullName>רונית דרשלר</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טובה דויטש</FullName>
        <FirstName>טויבה יונה</FirstName>
        <LastName>דויטש</LastName>
        <PartyPropertyName/>
        <AuthenticationTypeAndNumber>ת"ז 052157021</AuthenticationTypeAndNumber>
        <RepresentatedOrRepresentativesNames>יצחק מירון</RepresentatedOrRepresentativesNames>
        <RepresentatedOrRepresentativesCount>1</RepresentatedOrRepresentativesCount>
        <InvitedBy/>
        <CaseID>79517525</CaseID>
        <CaseJudicialPersonPresentationDS>
          <CaseJudicalPersonActive>
            <CaseID>79517525</CaseID>
            <JudicialPersonID>027771484@GOV.IL</JudicialPersonID>
            <JudicialPersonTypeID>1</JudicialPersonTypeID>
            <JudicialTypeID>1</JudicialTypeID>
            <IsChairman>false</IsChairman>
            <TreatmentStartDate>2022-08-18T15:58:31.493+03:00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244624362</CasePartyID>
        <PartyTypeID>1</PartyTypeID>
        <ActivityStatusID>1</ActivityStatusID>
        <PartyAliasID>2</PartyAliasID>
        <PartyAliasName>נתבע</PartyAliasName>
        <OrdinalNumber>1</OrdinalNumber>
        <LegalEntityID>70131156</LegalEntityID>
        <CaseLegalEntityID>120888377</CaseLegalEntityID>
        <AuthenticationTypeID>1</AuthenticationTypeID>
        <AuthenticationTypeName>ת"ז</AuthenticationTypeName>
        <LegalEntityNumber>052157021</LegalEntityNumber>
        <IsMainPartyType>true</IsMainPartyType>
        <CaseDisplayIdentifier>25638-08-22</CaseDisplayIdentifier>
        <CaseTypeID>15</CaseTypeID>
        <CaseTypeName>תיק משפחה (תמ"ש)</CaseTypeName>
        <CaseName>דרשלר נ' דויטש ואח'</CaseName>
        <FullAddress>יאיר 7 עפולה </FullAddress>
        <MotionID>0</MotionID>
        <CasePleaID>0</CasePleaID>
        <FatherName>לואיס</FatherName>
        <LinkedCaseID>0</LinkedCaseID>
        <PartyID>2</PartyID>
        <CasePartyCategoryID>2</CasePartyCategoryID>
        <LegalEntityAddressID>86890463</LegalEntityAddressID>
        <PleaTypeID>4</PleaTypeID>
        <GroupPartyAlias>נתבעים</GroupPartyAlias>
        <IsConverted>false</IsConverted>
        <LegalEntityRegisteredNameID>9070600</LegalEntityRegisteredNameID>
        <LegalEntityNameID>93539099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טובה דויטש</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יעקב דויטש</FullName>
        <FirstName>יעקב</FirstName>
        <LastName>דויטש</LastName>
        <PartyPropertyName/>
        <AuthenticationTypeAndNumber>ת"ז 050628015</AuthenticationTypeAndNumber>
        <RepresentatedOrRepresentativesNames>יצחק מירון</RepresentatedOrRepresentativesNames>
        <RepresentatedOrRepresentativesCount>1</RepresentatedOrRepresentativesCount>
        <InvitedBy/>
        <CaseID>79517525</CaseID>
        <CaseJudicialPersonPresentationDS>
          <CaseJudicalPersonActive>
            <CaseID>79517525</CaseID>
            <JudicialPersonID>027771484@GOV.IL</JudicialPersonID>
            <JudicialPersonTypeID>1</JudicialPersonTypeID>
            <JudicialTypeID>1</JudicialTypeID>
            <IsChairman>false</IsChairman>
            <TreatmentStartDate>2022-08-18T15:58:31.493+03:00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244624363</CasePartyID>
        <PartyTypeID>1</PartyTypeID>
        <ActivityStatusID>1</ActivityStatusID>
        <PartyAliasID>2</PartyAliasID>
        <PartyAliasName>נתבע</PartyAliasName>
        <OrdinalNumber>2</OrdinalNumber>
        <LegalEntityID>2391974</LegalEntityID>
        <CaseLegalEntityID>120888378</CaseLegalEntityID>
        <AuthenticationTypeID>1</AuthenticationTypeID>
        <AuthenticationTypeName>ת"ז</AuthenticationTypeName>
        <LegalEntityNumber>050628015</LegalEntityNumber>
        <IsMainPartyType>true</IsMainPartyType>
        <CaseDisplayIdentifier>25638-08-22</CaseDisplayIdentifier>
        <CaseTypeID>15</CaseTypeID>
        <CaseTypeName>תיק משפחה (תמ"ש)</CaseTypeName>
        <CaseName>דרשלר נ' דויטש ואח'</CaseName>
        <FullAddress>יאיר 7 עפולה </FullAddress>
        <MotionID>0</MotionID>
        <CasePleaID>0</CasePleaID>
        <FatherName>יואל</FatherName>
        <LinkedCaseID>0</LinkedCaseID>
        <PartyID>2</PartyID>
        <CasePartyCategoryID>2</CasePartyCategoryID>
        <LegalEntityAddressID>86890465</LegalEntityAddressID>
        <PleaTypeID>4</PleaTypeID>
        <GroupPartyAlias>נתבעים</GroupPartyAlias>
        <IsConverted>false</IsConverted>
        <LegalEntityRegisteredNameID>2438370</LegalEntityRegisteredNameID>
        <LegalEntityNameID>93539100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יעקב דויטש</PublicationProhibitedFullName>
      </CaseParties>
    </CasePartiesSelectionDS>
    <DecisionName>פסק דין  שניתנה ע"י  רונית גורביץ</DecisionName>
    <CourtDisplayName>בית משפט לענייני משפחה בנוף הגליל-נצרת</CourtDisplayName>
    <IsCaseJudgePanel>false</IsCaseJudgePanel>
    <DecisionSignatureDate>2024-04-22T17:04:07.8689303+03:00</DecisionSignatureDate>
    <OpenCaseDate>2022-08-11T07:00:00+03:00</OpenCaseDate>
    <CaseFeeSum>0.000</CaseFeeSum>
    <DecisionTypeID>2</DecisionTypeID>
    <DecisionSignatureUserName>רונית גורביץ</DecisionSignatureUserName>
    <DecisionSignatureDateHebrew>2024-04-22T17:04:07.8689303+03:00</DecisionSignatureDateHebrew>
    <DecisionWriterID>027771484@GOV.IL</DecisionWriterID>
    <CourtAddress>רח'  כיכר יצחק רבין היכל המשפט, נוף הגליל 1776602</CourtAddress>
    <IsAutoTextInCaseExist>false</IsAutoTextInCaseExist>
    <DecisionSignatureRoleName>שופט</DecisionSignatureRoleName>
    <DecisionSignatureUserTitleName>שופטת</DecisionSignatureUserTitleName>
    <CaseName>דרשלר נ' דויטש ואח'</CaseName>
    <DecisionNumberInCase>10</DecisionNumberInCase>
  </dt_Decision>
  <dt_DecisionCase>
    <DecisionID>0</DecisionID>
    <CaseID>79517525</CaseID>
    <CaseJudicialPersonPresentationDS>
      <CaseJudicalPersonActive>
        <CaseID>79517525</CaseID>
        <JudicialPersonID>027771484@GOV.IL</JudicialPersonID>
        <JudicialPersonTypeID>1</JudicialPersonTypeID>
        <JudicialTypeID>1</JudicialTypeID>
        <IsChairman>false</IsChairman>
        <TreatmentStartDate>2022-08-18T15:58:31.493+03:00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יצחק מירון</FullName>
        <FirstName>יצחק</FirstName>
        <LastName>מירון</LastName>
        <PartyPropertyName/>
        <AuthenticationTypeAndNumber>מ.ר. 11238</AuthenticationTypeAndNumber>
        <RepresentatedOrRepresentativesNames>טובה דויטש, יעקב דויטש</RepresentatedOrRepresentativesNames>
        <RepresentatedOrRepresentativesCount>2</RepresentatedOrRepresentativesCount>
        <InvitedBy/>
        <CaseID>79517525</CaseID>
        <CaseJudicialPersonPresentationDS>
          <CaseJudicalPersonActive>
            <CaseID>79517525</CaseID>
            <JudicialPersonID>027771484@GOV.IL</JudicialPersonID>
            <JudicialPersonTypeID>1</JudicialPersonTypeID>
            <JudicialTypeID>1</JudicialTypeID>
            <IsChairman>false</IsChairman>
            <TreatmentStartDate>2022-08-18T15:58:31.493+03:00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257266411</CasePartyID>
        <PartyTypeID>2</PartyTypeID>
        <ActivityStatusID>1</ActivityStatusID>
        <PartyAliasID>21</PartyAliasID>
        <PartyAliasName>בא כוח נתבעים</PartyAliasName>
        <LegalEntityID>386987</LegalEntityID>
        <CaseLegalEntityID>124841562</CaseLegalEntityID>
        <AuthenticationTypeID>4</AuthenticationTypeID>
        <AuthenticationTypeName>מ.ר.</AuthenticationTypeName>
        <LegalEntityNumber>11238</LegalEntityNumber>
        <IsMainPartyType>true</IsMainPartyType>
        <CaseDisplayIdentifier>25638-08-22</CaseDisplayIdentifier>
        <CaseTypeID>15</CaseTypeID>
        <CaseTypeName>תיק משפחה (תמ"ש)</CaseTypeName>
        <CaseName>דרשלר נ' דויטש ואח'</CaseName>
        <FullAddress>שד' ארלוזורוב 18 עפולה </FullAddress>
        <EmailAddress>mirone.law@gmail.com</EmailAddress>
        <MotionID>0</MotionID>
        <CasePleaID>0</CasePleaID>
        <FatherName xml:space="preserve">        </FatherName>
        <LinkedCaseID>0</LinkedCaseID>
        <PartyID>2</PartyID>
        <CasePartyCategoryID>2</CasePartyCategoryID>
        <LegalEntityAddressID>429969</LegalEntityAddressID>
        <LegalEntityEmailAddressID>68075721</LegalEntityEmailAddressID>
        <PleaTypeID>4</PleaTypeID>
        <LawyerOfficeName>משרד עו"ד י. מירון ושות'</LawyerOfficeName>
        <LawyerOfficeID>427631</LawyerOfficeID>
        <GroupPartyAlias/>
        <IsConverted>false</IsConverted>
        <LegalEntityNameID>7971</LegalEntityNameID>
        <RepresentatedNamesOfAssistant/>
        <LegalEntityTypeID>4</LegalEntityTypeID>
        <IsVerdictExists>false</IsVerdictExists>
        <IsAsirAzir>false</IsAsirAzir>
        <IsPublicationProhibited>false</IsPublicationProhibited>
        <PublicationProhibitedFullName>יצחק מירון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רונית דרשלר</FullName>
        <FirstName>רונית</FirstName>
        <LastName>דרשלר</LastName>
        <PartyPropertyName/>
        <AuthenticationTypeAndNumber>ת"ז 066435934</AuthenticationTypeAndNumber>
        <RepresentatedOrRepresentativesNames>רונית דרשלר</RepresentatedOrRepresentativesNames>
        <RepresentatedOrRepresentativesCount>1</RepresentatedOrRepresentativesCount>
        <InvitedBy/>
        <CaseID>79517525</CaseID>
        <CaseJudicialPersonPresentationDS>
          <CaseJudicalPersonActive>
            <CaseID>79517525</CaseID>
            <JudicialPersonID>027771484@GOV.IL</JudicialPersonID>
            <JudicialPersonTypeID>1</JudicialPersonTypeID>
            <JudicialTypeID>1</JudicialTypeID>
            <IsChairman>false</IsChairman>
            <TreatmentStartDate>2022-08-18T15:58:31.493+03:00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244624360</CasePartyID>
        <PartyTypeID>1</PartyTypeID>
        <ActivityStatusID>1</ActivityStatusID>
        <PartyAliasID>1</PartyAliasID>
        <PartyAliasName>תובע</PartyAliasName>
        <OrdinalNumber>1</OrdinalNumber>
        <LegalEntityID>2111920</LegalEntityID>
        <CaseLegalEntityID>120888375</CaseLegalEntityID>
        <AuthenticationTypeID>1</AuthenticationTypeID>
        <AuthenticationTypeName>ת"ז</AuthenticationTypeName>
        <LegalEntityNumber>066435934</LegalEntityNumber>
        <IsMainPartyType>true</IsMainPartyType>
        <CaseDisplayIdentifier>25638-08-22</CaseDisplayIdentifier>
        <CaseTypeID>15</CaseTypeID>
        <CaseTypeName>תיק משפחה (תמ"ש)</CaseTypeName>
        <CaseName>דרשלר נ' דויטש ואח'</CaseName>
        <FullAddress/>
        <MotionID>0</MotionID>
        <CasePleaID>0</CasePleaID>
        <FatherName>מרדכי</FatherName>
        <LinkedCaseID>0</LinkedCaseID>
        <PartyID>1</PartyID>
        <CasePartyCategoryID>2</CasePartyCategoryID>
        <PleaTypeID>4</PleaTypeID>
        <GroupPartyAlias>תובעים</GroupPartyAlias>
        <IsConverted>false</IsConverted>
        <LegalEntityRegisteredNameID>9070599</LegalEntityRegisteredNameID>
        <LegalEntityNameID>93539098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רונית דרשלר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רונית דרשלר</FullName>
        <FirstName>רונית</FirstName>
        <LastName>דרשלר</LastName>
        <PartyPropertyName/>
        <AuthenticationTypeAndNumber>מ.ר. 60148</AuthenticationTypeAndNumber>
        <RepresentatedOrRepresentativesNames>רונית דרשלר</RepresentatedOrRepresentativesNames>
        <RepresentatedOrRepresentativesCount>1</RepresentatedOrRepresentativesCount>
        <InvitedBy/>
        <CaseID>79517525</CaseID>
        <CaseJudicialPersonPresentationDS>
          <CaseJudicalPersonActive>
            <CaseID>79517525</CaseID>
            <JudicialPersonID>027771484@GOV.IL</JudicialPersonID>
            <JudicialPersonTypeID>1</JudicialPersonTypeID>
            <JudicialTypeID>1</JudicialTypeID>
            <IsChairman>false</IsChairman>
            <TreatmentStartDate>2022-08-18T15:58:31.493+03:00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244624361</CasePartyID>
        <PartyTypeID>2</PartyTypeID>
        <ActivityStatusID>1</ActivityStatusID>
        <PartyAliasID>20</PartyAliasID>
        <PartyAliasName>בא כוח תובעים</PartyAliasName>
        <OrdinalNumber>1</OrdinalNumber>
        <LegalEntityID>73747457</LegalEntityID>
        <CaseLegalEntityID>120888376</CaseLegalEntityID>
        <AuthenticationTypeID>4</AuthenticationTypeID>
        <AuthenticationTypeName>מ.ר.</AuthenticationTypeName>
        <LegalEntityNumber>60148</LegalEntityNumber>
        <IsMainPartyType>true</IsMainPartyType>
        <CaseDisplayIdentifier>25638-08-22</CaseDisplayIdentifier>
        <CaseTypeID>15</CaseTypeID>
        <CaseTypeName>תיק משפחה (תמ"ש)</CaseTypeName>
        <CaseName>דרשלר נ' דויטש ואח'</CaseName>
        <FullAddress>הנדיב 71 הרצלייה </FullAddress>
        <EmailAddress>office@drch-law.com</EmailAddress>
        <MotionID>0</MotionID>
        <CasePleaID>0</CasePleaID>
        <LinkedCaseID>0</LinkedCaseID>
        <PartyID>1</PartyID>
        <CasePartyCategoryID>2</CasePartyCategoryID>
        <LegalEntityAddressID>83798391</LegalEntityAddressID>
        <LegalEntityEmailAddressID>68207292</LegalEntityEmailAddressID>
        <PleaTypeID>4</PleaTypeID>
        <LawyerOfficeName>משרד עו"ד רונית דרשלר</LawyerOfficeName>
        <LawyerOfficeID>73747458</LawyerOfficeID>
        <GroupPartyAlias/>
        <IsConverted>false</IsConverted>
        <LegalEntityNameID>78814423</LegalEntityNameID>
        <RepresentatedNamesOfAssistant/>
        <LegalEntityTypeID>4</LegalEntityTypeID>
        <IsVerdictExists>false</IsVerdictExists>
        <IsAsirAzir>false</IsAsirAzir>
        <IsPublicationProhibited>false</IsPublicationProhibited>
        <PublicationProhibitedFullName>רונית דרשלר</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טובה דויטש</FullName>
        <FirstName>טויבה יונה</FirstName>
        <LastName>דויטש</LastName>
        <PartyPropertyName/>
        <AuthenticationTypeAndNumber>ת"ז 052157021</AuthenticationTypeAndNumber>
        <RepresentatedOrRepresentativesNames>יצחק מירון</RepresentatedOrRepresentativesNames>
        <RepresentatedOrRepresentativesCount>1</RepresentatedOrRepresentativesCount>
        <InvitedBy/>
        <CaseID>79517525</CaseID>
        <CaseJudicialPersonPresentationDS>
          <CaseJudicalPersonActive>
            <CaseID>79517525</CaseID>
            <JudicialPersonID>027771484@GOV.IL</JudicialPersonID>
            <JudicialPersonTypeID>1</JudicialPersonTypeID>
            <JudicialTypeID>1</JudicialTypeID>
            <IsChairman>false</IsChairman>
            <TreatmentStartDate>2022-08-18T15:58:31.493+03:00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244624362</CasePartyID>
        <PartyTypeID>1</PartyTypeID>
        <ActivityStatusID>1</ActivityStatusID>
        <PartyAliasID>2</PartyAliasID>
        <PartyAliasName>נתבע</PartyAliasName>
        <OrdinalNumber>1</OrdinalNumber>
        <LegalEntityID>70131156</LegalEntityID>
        <CaseLegalEntityID>120888377</CaseLegalEntityID>
        <AuthenticationTypeID>1</AuthenticationTypeID>
        <AuthenticationTypeName>ת"ז</AuthenticationTypeName>
        <LegalEntityNumber>052157021</LegalEntityNumber>
        <IsMainPartyType>true</IsMainPartyType>
        <CaseDisplayIdentifier>25638-08-22</CaseDisplayIdentifier>
        <CaseTypeID>15</CaseTypeID>
        <CaseTypeName>תיק משפחה (תמ"ש)</CaseTypeName>
        <CaseName>דרשלר נ' דויטש ואח'</CaseName>
        <FullAddress>יאיר 7 עפולה </FullAddress>
        <MotionID>0</MotionID>
        <CasePleaID>0</CasePleaID>
        <FatherName>לואיס</FatherName>
        <LinkedCaseID>0</LinkedCaseID>
        <PartyID>2</PartyID>
        <CasePartyCategoryID>2</CasePartyCategoryID>
        <LegalEntityAddressID>86890463</LegalEntityAddressID>
        <PleaTypeID>4</PleaTypeID>
        <GroupPartyAlias>נתבעים</GroupPartyAlias>
        <IsConverted>false</IsConverted>
        <LegalEntityRegisteredNameID>9070600</LegalEntityRegisteredNameID>
        <LegalEntityNameID>93539099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טובה דויטש</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יעקב דויטש</FullName>
        <FirstName>יעקב</FirstName>
        <LastName>דויטש</LastName>
        <PartyPropertyName/>
        <AuthenticationTypeAndNumber>ת"ז 050628015</AuthenticationTypeAndNumber>
        <RepresentatedOrRepresentativesNames>יצחק מירון</RepresentatedOrRepresentativesNames>
        <RepresentatedOrRepresentativesCount>1</RepresentatedOrRepresentativesCount>
        <InvitedBy/>
        <CaseID>79517525</CaseID>
        <CaseJudicialPersonPresentationDS>
          <CaseJudicalPersonActive>
            <CaseID>79517525</CaseID>
            <JudicialPersonID>027771484@GOV.IL</JudicialPersonID>
            <JudicialPersonTypeID>1</JudicialPersonTypeID>
            <JudicialTypeID>1</JudicialTypeID>
            <IsChairman>false</IsChairman>
            <TreatmentStartDate>2022-08-18T15:58:31.493+03:00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244624363</CasePartyID>
        <PartyTypeID>1</PartyTypeID>
        <ActivityStatusID>1</ActivityStatusID>
        <PartyAliasID>2</PartyAliasID>
        <PartyAliasName>נתבע</PartyAliasName>
        <OrdinalNumber>2</OrdinalNumber>
        <LegalEntityID>2391974</LegalEntityID>
        <CaseLegalEntityID>120888378</CaseLegalEntityID>
        <AuthenticationTypeID>1</AuthenticationTypeID>
        <AuthenticationTypeName>ת"ז</AuthenticationTypeName>
        <LegalEntityNumber>050628015</LegalEntityNumber>
        <IsMainPartyType>true</IsMainPartyType>
        <CaseDisplayIdentifier>25638-08-22</CaseDisplayIdentifier>
        <CaseTypeID>15</CaseTypeID>
        <CaseTypeName>תיק משפחה (תמ"ש)</CaseTypeName>
        <CaseName>דרשלר נ' דויטש ואח'</CaseName>
        <FullAddress>יאיר 7 עפולה </FullAddress>
        <MotionID>0</MotionID>
        <CasePleaID>0</CasePleaID>
        <FatherName>יואל</FatherName>
        <LinkedCaseID>0</LinkedCaseID>
        <PartyID>2</PartyID>
        <CasePartyCategoryID>2</CasePartyCategoryID>
        <LegalEntityAddressID>86890465</LegalEntityAddressID>
        <PleaTypeID>4</PleaTypeID>
        <GroupPartyAlias>נתבעים</GroupPartyAlias>
        <IsConverted>false</IsConverted>
        <LegalEntityRegisteredNameID>2438370</LegalEntityRegisteredNameID>
        <LegalEntityNameID>93539100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יעקב דויטש</PublicationProhibitedFullName>
      </CaseParties>
    </CasePartiesSelectionDS>
    <CaseName>דרשלר נ' דויטש ואח'</CaseName>
    <CaseDisplayIdentifier>25638-08-22</CaseDisplayIdentifier>
    <CaseInterestID>10513</CaseInterestID>
    <CaseTypeShortName>תמ"ש</CaseTypeShortName>
  </dt_DecisionCase>
  <dt_DecisionJudgePanel>
    <JudgeID>027771484@GOV.IL</JudgeID>
    <DisplayName>רונית גורביץ</DisplayName>
    <RoleName>שופט</RoleName>
    <UserTitleName>שופטת</UserTitleName>
  </dt_DecisionJudgePanel>
  <dt_LegalEntityDetails>
    <Fax>04-6528393</Fax>
    <Phone>04-6527404</Phone>
    <PartyID>2</PartyID>
    <PartyTypeID>2</PartyTypeID>
    <DecisionID>0</DecisionID>
    <StreetName>שד' ארלוזורוב 18</StreetName>
    <ZipCode>18280</ZipCode>
    <CityName>עפולה</CityName>
    <FullName>יצחק מירון</FullName>
    <Email>mirone.law@gmail.com</Email>
    <IsPublicationProhibited>false</IsPublicationProhibited>
  </dt_LegalEntityDetails>
  <dt_LegalEntityDetails>
    <PartyID>1</PartyID>
    <PartyTypeID>1</PartyTypeID>
    <DecisionID>0</DecisionID>
    <FullName>רונית דרשלר</FullName>
    <IsPublicationProhibited>false</IsPublicationProhibited>
  </dt_LegalEntityDetails>
  <dt_LegalEntityDetails>
    <Fax>09-9671144</Fax>
    <AddressDesc/>
    <PartyID>1</PartyID>
    <PartyTypeID>2</PartyTypeID>
    <DecisionID>0</DecisionID>
    <StreetName>הנדיב 71</StreetName>
    <CityName>הרצלייה</CityName>
    <FullName>רונית דרשלר</FullName>
    <Email>office@drch-law.com</Email>
    <IsPublicationProhibited>false</IsPublicationProhibited>
  </dt_LegalEntityDetails>
  <dt_LegalEntityDetails>
    <PartyID>2</PartyID>
    <PartyTypeID>1</PartyTypeID>
    <DecisionID>0</DecisionID>
    <StreetName>יאיר 7 </StreetName>
    <CityName>עפולה</CityName>
    <FullName>טובה דויטש</FullName>
    <IsPublicationProhibited>false</IsPublicationProhibited>
  </dt_LegalEntityDetails>
  <dt_LegalEntityDetails>
    <PartyID>2</PartyID>
    <PartyTypeID>1</PartyTypeID>
    <DecisionID>0</DecisionID>
    <StreetName>יאיר 7 </StreetName>
    <CityName>עפולה</CityName>
    <FullName>יעקב  דויטש</FullName>
    <IsPublicationProhibited>false</IsPublicationProhibited>
  </dt_LegalEntityDetails>
  <dt_CaseJudicalPersonActive>
    <CaseJudicalPerson>שופטת רונית גורביץ</CaseJudicalPerson>
  </dt_CaseJudicalPersonActive>
  <dt_Sitting>
    <PreviousMeetingDate>2023-12-06T11:30:00+02:00</PreviousMeetingDate>
    <PreviousSittingTypeID>1</PreviousSittingTypeID>
    <PreviousMeetingDisplayName>שופטת רונית גורביץ</PreviousMeetingDisplayName>
    <PreviousMeetingRoleName>שופט</PreviousMeetingRoleName>
    <PreviousMeetingUserTitleName>שופטת</PreviousMeetingUserTitleName>
    <PreviousMeetingUserUPN>027771484@GOV.IL</PreviousMeetingUserUPN>
  </dt_Sitting>
</DecisionTemplateDS>
</file>

<file path=customXml/itemProps1.xml><?xml version="1.0" encoding="utf-8"?>
<ds:datastoreItem xmlns:ds="http://schemas.openxmlformats.org/officeDocument/2006/customXml" ds:itemID="{58E70332-4E07-4466-ADDF-3D04D00DA593}">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2921</Words>
  <Characters>14608</Characters>
  <Application>Microsoft Office Word</Application>
  <DocSecurity>0</DocSecurity>
  <Lines>121</Lines>
  <Paragraphs>34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17495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נעה בקר</cp:lastModifiedBy>
  <cp:revision>1</cp:revision>
  <dcterms:created xsi:type="dcterms:W3CDTF">2024-05-08T07:39:00Z</dcterms:created>
  <dcterms:modified xsi:type="dcterms:W3CDTF">2024-05-09T06:58:00Z</dcterms:modified>
</cp:coreProperties>
</file>